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C5" w:rsidRPr="00E877C5" w:rsidRDefault="00E877C5" w:rsidP="00E877C5">
      <w:pPr>
        <w:spacing w:after="0" w:line="240" w:lineRule="auto"/>
        <w:jc w:val="center"/>
        <w:rPr>
          <w:b/>
          <w:sz w:val="28"/>
          <w:szCs w:val="28"/>
        </w:rPr>
      </w:pPr>
      <w:r w:rsidRPr="00E877C5">
        <w:rPr>
          <w:b/>
          <w:sz w:val="28"/>
          <w:szCs w:val="28"/>
        </w:rPr>
        <w:t>ANNUAL DEGREE PROGRAM ASSESSMENT, PLANNING AND BUDGET REPORT</w:t>
      </w:r>
    </w:p>
    <w:p w:rsidR="00E877C5" w:rsidRPr="00E877C5" w:rsidRDefault="00E82249" w:rsidP="00E877C5">
      <w:pPr>
        <w:pStyle w:val="Title"/>
        <w:jc w:val="center"/>
        <w:rPr>
          <w:sz w:val="32"/>
          <w:szCs w:val="32"/>
        </w:rPr>
      </w:pPr>
      <w:r>
        <w:rPr>
          <w:sz w:val="32"/>
          <w:szCs w:val="32"/>
        </w:rPr>
        <w:t>2013-2014</w:t>
      </w:r>
      <w:bookmarkStart w:id="0" w:name="_GoBack"/>
      <w:bookmarkEnd w:id="0"/>
    </w:p>
    <w:p w:rsidR="00B6062C" w:rsidRDefault="00B6062C" w:rsidP="00B6062C">
      <w:pPr>
        <w:pStyle w:val="ListParagraph"/>
        <w:jc w:val="center"/>
      </w:pPr>
      <w:r>
        <w:t>UHMC ABRP Program</w:t>
      </w:r>
    </w:p>
    <w:p w:rsidR="00FB5D6B" w:rsidRDefault="00FB5D6B" w:rsidP="00FB3F7D">
      <w:pPr>
        <w:pStyle w:val="ListParagraph"/>
      </w:pPr>
      <w:r>
        <w:t>Program Description</w:t>
      </w:r>
      <w:r w:rsidR="00FB3F7D">
        <w:t>:</w:t>
      </w:r>
      <w:r w:rsidR="002C390B">
        <w:t xml:space="preserve">  </w:t>
      </w:r>
      <w:r w:rsidR="00FB3F7D">
        <w:t xml:space="preserve">                      </w:t>
      </w:r>
    </w:p>
    <w:p w:rsidR="00FB3F7D" w:rsidRPr="00FB3F7D" w:rsidRDefault="00FB3F7D" w:rsidP="00D84CD3">
      <w:pPr>
        <w:spacing w:after="120" w:line="240" w:lineRule="auto"/>
        <w:ind w:left="720"/>
        <w:rPr>
          <w:rFonts w:eastAsia="Times New Roman" w:cs="Arial"/>
          <w:color w:val="000000"/>
        </w:rPr>
      </w:pPr>
      <w:r w:rsidRPr="00FB3F7D">
        <w:rPr>
          <w:rFonts w:eastAsia="Times New Roman" w:cs="Arial"/>
          <w:color w:val="000000"/>
        </w:rPr>
        <w:t>The UHMC Auto Body Repair and Painting Program (ABRP Program) has always aligned itself with the concepts of a learning-centered institution and also integrates the concept of a lifelong learner into its program curriculum. The ABRP Program is in agreement with the open admissions policy of the University of Hawaii Maui College campus, allowing students to enter in to the program in either semester.  The ABRP Program allows students to have the opportunity to enter into either of the two distinctive areas of the trade, but they are still required to receive instruction and hands-on training in all areas of instruction of the ABRP Program to receive an AAS degree. This insures all students are able to gain the different types of knowledge and skills as required by either the auto collision repair or auto refinish repair areas of the trade. </w:t>
      </w:r>
    </w:p>
    <w:p w:rsidR="00FB3F7D" w:rsidRPr="00FB3F7D" w:rsidRDefault="00FB3F7D" w:rsidP="00D84CD3">
      <w:pPr>
        <w:spacing w:after="120" w:line="240" w:lineRule="auto"/>
        <w:ind w:left="720"/>
        <w:rPr>
          <w:rFonts w:eastAsia="Times New Roman" w:cs="Arial"/>
          <w:color w:val="000000"/>
        </w:rPr>
      </w:pPr>
      <w:r w:rsidRPr="00FB3F7D">
        <w:rPr>
          <w:rFonts w:eastAsia="Times New Roman" w:cs="Arial"/>
          <w:color w:val="000000"/>
        </w:rPr>
        <w:t>By offering ABRP Program in a self-paced module format three areas of student demand are fulfilled.  This module system also provides different avenues for individuals, they can enroll either as full-time or part-time students to receive instruction in the ABRP Program, with the ultimate goal of receiving either their Associate in Applied Science Degree (AAS) or a Certificate of Achievement Degree (CA). </w:t>
      </w:r>
    </w:p>
    <w:p w:rsidR="00FB3F7D" w:rsidRPr="00FB3F7D" w:rsidRDefault="00FB3F7D" w:rsidP="00D84CD3">
      <w:pPr>
        <w:spacing w:after="120" w:line="240" w:lineRule="auto"/>
        <w:ind w:left="720"/>
        <w:rPr>
          <w:rFonts w:eastAsia="Times New Roman" w:cs="Arial"/>
          <w:color w:val="000000"/>
        </w:rPr>
      </w:pPr>
      <w:r w:rsidRPr="00FB3F7D">
        <w:rPr>
          <w:rFonts w:eastAsia="Times New Roman" w:cs="Arial"/>
          <w:color w:val="000000"/>
        </w:rPr>
        <w:t>First, the self-paced module format allows for the needs of students striving to obtain gainful employment in the trade to be met.  Students can actively pursue a degree or a certificate both as fulltime or part-time students.  Upon completion all students exiting the program with an AAS Degree or a CA Degree should be able to satisfactorily perform their expected and required tasks at entry level or higher in the Auto Body and Refinishing trade.</w:t>
      </w:r>
    </w:p>
    <w:p w:rsidR="00FB3F7D" w:rsidRPr="00FB3F7D" w:rsidRDefault="00FB3F7D" w:rsidP="00D84CD3">
      <w:pPr>
        <w:spacing w:after="120" w:line="240" w:lineRule="auto"/>
        <w:ind w:left="720"/>
        <w:rPr>
          <w:rFonts w:eastAsia="Times New Roman" w:cs="Arial"/>
          <w:color w:val="000000"/>
        </w:rPr>
      </w:pPr>
      <w:r w:rsidRPr="00FB3F7D">
        <w:rPr>
          <w:rFonts w:eastAsia="Times New Roman" w:cs="Arial"/>
          <w:color w:val="000000"/>
        </w:rPr>
        <w:t>Second, for those students seeking to improve their skills in specific areas of the trade are satisfied.  This program provides for individuals who are currently employed in the Automotive Collision and Corrosion Repair or Automotive Refinishing industry a way to attend UHMC as part-time students.  The ABRP Program is able to present these students with in-service training as Auto Collision Technicians, Auto Corrosion Technicians, and Auto Refinishing Technicians, because of the self-paced modules.  This in-service training allows the technician to use the UHMC ABRP Program in several ways.   First, this program can be utilized as a refresher course, thus allowing the technician to be able to perform their daily work assignments more efficiently.  Second, technicians can enroll in the Auto Body Repair and Painting Program for advancement in their specialized area of the trade.  Another, to cross train into another field of the auto collision or refinish industry, such as a collision repair technician enrolling to learn about being able to do or understand complete refinishing or touch up refinishing procedures.  </w:t>
      </w:r>
    </w:p>
    <w:p w:rsidR="00FB3F7D" w:rsidRPr="00FB3F7D" w:rsidRDefault="00FB3F7D" w:rsidP="00D84CD3">
      <w:pPr>
        <w:spacing w:after="120" w:line="240" w:lineRule="auto"/>
        <w:ind w:firstLine="720"/>
        <w:rPr>
          <w:rFonts w:eastAsia="Times New Roman" w:cs="Arial"/>
          <w:color w:val="000000"/>
        </w:rPr>
      </w:pPr>
      <w:r w:rsidRPr="00FB3F7D">
        <w:rPr>
          <w:rFonts w:eastAsia="Times New Roman" w:cs="Arial"/>
          <w:color w:val="000000"/>
        </w:rPr>
        <w:t xml:space="preserve">Finally, there are students that enroll for self- knowledge, to have their personal needs and interests fulfilled.  </w:t>
      </w:r>
    </w:p>
    <w:p w:rsidR="00FB3F7D" w:rsidRPr="00FB3F7D" w:rsidRDefault="00FB3F7D" w:rsidP="00D84CD3">
      <w:pPr>
        <w:spacing w:after="120" w:line="240" w:lineRule="auto"/>
        <w:ind w:left="720"/>
        <w:rPr>
          <w:rFonts w:eastAsia="Times New Roman" w:cs="Arial"/>
          <w:color w:val="000000"/>
        </w:rPr>
      </w:pPr>
      <w:r w:rsidRPr="00FB3F7D">
        <w:rPr>
          <w:rFonts w:eastAsia="Times New Roman" w:cs="Arial"/>
          <w:color w:val="000000"/>
        </w:rPr>
        <w:t>Instruction in the ABRP Program for all three types of students can be accomplished at the same time.  All students receive the same instruction and must meet the criteria for advancement in the program to the same standards required of the students enrolled in the program for future employment into the trade.  The ABRP Program continues to strive to provide instruction in the most current repair and refinish technology to all students. </w:t>
      </w:r>
    </w:p>
    <w:p w:rsidR="00FB5D6B" w:rsidRDefault="00FB3F7D" w:rsidP="00FB5D6B">
      <w:pPr>
        <w:pStyle w:val="ListParagraph"/>
      </w:pPr>
      <w:r>
        <w:tab/>
      </w:r>
      <w:r>
        <w:tab/>
      </w:r>
    </w:p>
    <w:p w:rsidR="00DA5836" w:rsidRDefault="009C5723" w:rsidP="00FB5D6B">
      <w:pPr>
        <w:pStyle w:val="ListParagraph"/>
        <w:numPr>
          <w:ilvl w:val="0"/>
          <w:numId w:val="1"/>
        </w:numPr>
      </w:pPr>
      <w:r>
        <w:t>Briefly respond</w:t>
      </w:r>
      <w:r w:rsidR="00FB5D6B">
        <w:t xml:space="preserve"> in </w:t>
      </w:r>
      <w:r w:rsidR="00FB5D6B" w:rsidRPr="0047371C">
        <w:rPr>
          <w:u w:val="single"/>
        </w:rPr>
        <w:t>100 words or less</w:t>
      </w:r>
      <w:r w:rsidR="00FB5D6B">
        <w:t xml:space="preserve"> for each</w:t>
      </w:r>
      <w:r w:rsidR="007B22AC">
        <w:t xml:space="preserve"> </w:t>
      </w:r>
      <w:r w:rsidR="00FB5D6B">
        <w:t xml:space="preserve">cautionary and/or unhealthy </w:t>
      </w:r>
      <w:r w:rsidR="007B22AC">
        <w:t>Quantitative Indicator</w:t>
      </w:r>
      <w:r w:rsidR="0047371C">
        <w:t xml:space="preserve"> </w:t>
      </w:r>
      <w:r w:rsidR="00FB5D6B">
        <w:t>(II):</w:t>
      </w:r>
    </w:p>
    <w:p w:rsidR="00AD7FAE" w:rsidRDefault="00AD7FAE" w:rsidP="00AD7FAE">
      <w:pPr>
        <w:pStyle w:val="ListParagraph"/>
      </w:pPr>
    </w:p>
    <w:p w:rsidR="00FB5D6B" w:rsidRDefault="00FB5D6B" w:rsidP="007B22AC">
      <w:pPr>
        <w:pStyle w:val="ListParagraph"/>
        <w:numPr>
          <w:ilvl w:val="1"/>
          <w:numId w:val="1"/>
        </w:numPr>
      </w:pPr>
      <w:r>
        <w:t>Demand Indicator:</w:t>
      </w:r>
    </w:p>
    <w:p w:rsidR="007B22AC" w:rsidRDefault="0044326C" w:rsidP="00DC55D8">
      <w:pPr>
        <w:ind w:left="1440"/>
        <w:rPr>
          <w:rFonts w:eastAsia="Times New Roman" w:cs="Times New Roman"/>
        </w:rPr>
      </w:pPr>
      <w:r w:rsidRPr="0044326C">
        <w:rPr>
          <w:rFonts w:eastAsia="Times New Roman" w:cs="Times New Roman"/>
        </w:rPr>
        <w:t>Historically</w:t>
      </w:r>
      <w:r w:rsidR="00C03D7E">
        <w:rPr>
          <w:rFonts w:eastAsia="Times New Roman" w:cs="Times New Roman"/>
        </w:rPr>
        <w:t>,</w:t>
      </w:r>
      <w:r w:rsidRPr="0044326C">
        <w:rPr>
          <w:rFonts w:eastAsia="Times New Roman" w:cs="Times New Roman"/>
        </w:rPr>
        <w:t xml:space="preserve"> the number of available positions listed for the County of Maui by the Hawaii State Department of Labor, which also includes the island Molokai and Lanai, has always appeared low in the demand indicator section</w:t>
      </w:r>
      <w:r w:rsidR="00C03D7E">
        <w:rPr>
          <w:rFonts w:eastAsia="Times New Roman" w:cs="Times New Roman"/>
        </w:rPr>
        <w:t xml:space="preserve">.  I believe that count reflects only to journeyman positions in trade for auto </w:t>
      </w:r>
      <w:r w:rsidR="00C03D7E">
        <w:rPr>
          <w:rFonts w:eastAsia="Times New Roman" w:cs="Times New Roman"/>
        </w:rPr>
        <w:lastRenderedPageBreak/>
        <w:t>collision and refinish technicians</w:t>
      </w:r>
      <w:r w:rsidR="00265416">
        <w:rPr>
          <w:rFonts w:eastAsia="Times New Roman" w:cs="Times New Roman"/>
        </w:rPr>
        <w:t xml:space="preserve"> and </w:t>
      </w:r>
      <w:r w:rsidR="00C03D7E">
        <w:rPr>
          <w:rFonts w:eastAsia="Times New Roman" w:cs="Times New Roman"/>
        </w:rPr>
        <w:t>not for entry level positions.  The</w:t>
      </w:r>
      <w:r w:rsidRPr="0044326C">
        <w:rPr>
          <w:rFonts w:eastAsia="Times New Roman" w:cs="Times New Roman"/>
        </w:rPr>
        <w:t xml:space="preserve"> auto collision </w:t>
      </w:r>
      <w:r w:rsidR="00FF3019">
        <w:rPr>
          <w:rFonts w:eastAsia="Times New Roman" w:cs="Times New Roman"/>
        </w:rPr>
        <w:t xml:space="preserve">repair </w:t>
      </w:r>
      <w:r w:rsidRPr="0044326C">
        <w:rPr>
          <w:rFonts w:eastAsia="Times New Roman" w:cs="Times New Roman"/>
        </w:rPr>
        <w:t xml:space="preserve">and refinishing facilities here in the island of Maui </w:t>
      </w:r>
      <w:r w:rsidR="00FF3019">
        <w:rPr>
          <w:rFonts w:eastAsia="Times New Roman" w:cs="Times New Roman"/>
        </w:rPr>
        <w:t>i</w:t>
      </w:r>
      <w:r w:rsidRPr="0044326C">
        <w:rPr>
          <w:rFonts w:eastAsia="Times New Roman" w:cs="Times New Roman"/>
        </w:rPr>
        <w:t>s always contact</w:t>
      </w:r>
      <w:r w:rsidR="00FF3019">
        <w:rPr>
          <w:rFonts w:eastAsia="Times New Roman" w:cs="Times New Roman"/>
        </w:rPr>
        <w:t>ing</w:t>
      </w:r>
      <w:r w:rsidRPr="0044326C">
        <w:rPr>
          <w:rFonts w:eastAsia="Times New Roman" w:cs="Times New Roman"/>
        </w:rPr>
        <w:t xml:space="preserve"> the ABRP Program seeking to employ our students as </w:t>
      </w:r>
      <w:r w:rsidR="00FF3019">
        <w:rPr>
          <w:rFonts w:eastAsia="Times New Roman" w:cs="Times New Roman"/>
        </w:rPr>
        <w:t xml:space="preserve">apprentice collision/corrosion </w:t>
      </w:r>
      <w:r w:rsidRPr="0044326C">
        <w:rPr>
          <w:rFonts w:eastAsia="Times New Roman" w:cs="Times New Roman"/>
        </w:rPr>
        <w:t xml:space="preserve">repair </w:t>
      </w:r>
      <w:r w:rsidR="00FF3019">
        <w:rPr>
          <w:rFonts w:eastAsia="Times New Roman" w:cs="Times New Roman"/>
        </w:rPr>
        <w:t xml:space="preserve">and refinish </w:t>
      </w:r>
      <w:r w:rsidRPr="0044326C">
        <w:rPr>
          <w:rFonts w:eastAsia="Times New Roman" w:cs="Times New Roman"/>
        </w:rPr>
        <w:t>technicians</w:t>
      </w:r>
      <w:r w:rsidR="00C03D7E">
        <w:rPr>
          <w:rFonts w:eastAsia="Times New Roman" w:cs="Times New Roman"/>
        </w:rPr>
        <w:t xml:space="preserve">, as well as related </w:t>
      </w:r>
      <w:r w:rsidR="00FF3019">
        <w:rPr>
          <w:rFonts w:eastAsia="Times New Roman" w:cs="Times New Roman"/>
        </w:rPr>
        <w:t>vocations</w:t>
      </w:r>
      <w:r w:rsidR="00C03D7E">
        <w:rPr>
          <w:rFonts w:eastAsia="Times New Roman" w:cs="Times New Roman"/>
        </w:rPr>
        <w:t xml:space="preserve"> seeking to employ </w:t>
      </w:r>
      <w:r w:rsidR="00FF3019">
        <w:rPr>
          <w:rFonts w:eastAsia="Times New Roman" w:cs="Times New Roman"/>
        </w:rPr>
        <w:t xml:space="preserve">our </w:t>
      </w:r>
      <w:r w:rsidR="00C03D7E">
        <w:rPr>
          <w:rFonts w:eastAsia="Times New Roman" w:cs="Times New Roman"/>
        </w:rPr>
        <w:t xml:space="preserve">students with entry level knowledge in the auto body and refinish </w:t>
      </w:r>
      <w:r w:rsidR="00FF3019">
        <w:rPr>
          <w:rFonts w:eastAsia="Times New Roman" w:cs="Times New Roman"/>
        </w:rPr>
        <w:t>trade</w:t>
      </w:r>
      <w:r w:rsidRPr="0044326C">
        <w:rPr>
          <w:rFonts w:eastAsia="Times New Roman" w:cs="Times New Roman"/>
        </w:rPr>
        <w:t xml:space="preserve">.   </w:t>
      </w:r>
    </w:p>
    <w:p w:rsidR="007B22AC" w:rsidRDefault="00FB5D6B" w:rsidP="007B22AC">
      <w:pPr>
        <w:pStyle w:val="ListParagraph"/>
        <w:numPr>
          <w:ilvl w:val="1"/>
          <w:numId w:val="1"/>
        </w:numPr>
      </w:pPr>
      <w:r>
        <w:t>Effectiveness Indicator:</w:t>
      </w:r>
    </w:p>
    <w:p w:rsidR="00DC55D8" w:rsidRDefault="00DC55D8" w:rsidP="00DC55D8">
      <w:pPr>
        <w:pStyle w:val="ListParagraph"/>
      </w:pPr>
    </w:p>
    <w:p w:rsidR="00DC55D8" w:rsidRDefault="00DC55D8" w:rsidP="00DC55D8">
      <w:pPr>
        <w:pStyle w:val="ListParagraph"/>
        <w:ind w:left="1440"/>
      </w:pPr>
      <w:r w:rsidRPr="00EC39F8">
        <w:t>In addition</w:t>
      </w:r>
      <w:r w:rsidR="00FF3019">
        <w:t xml:space="preserve"> and as noted in the previous comments</w:t>
      </w:r>
      <w:r w:rsidRPr="00EC39F8">
        <w:t xml:space="preserve">, many of our students receive employment not </w:t>
      </w:r>
      <w:r>
        <w:t>in an</w:t>
      </w:r>
      <w:r w:rsidRPr="00EC39F8">
        <w:t xml:space="preserve"> </w:t>
      </w:r>
      <w:r>
        <w:t xml:space="preserve">auto body and refinish shop, but at </w:t>
      </w:r>
      <w:r w:rsidRPr="00EC39F8">
        <w:t xml:space="preserve">related businesses, such as a glass repair facility, new auto parts stores and outlets, recycled auto parts facilities, or an automotive paint supply store.  The UHMC ABRP Program has always been able to fulfill the requests of </w:t>
      </w:r>
      <w:r>
        <w:t xml:space="preserve">not only </w:t>
      </w:r>
      <w:r w:rsidRPr="00EC39F8">
        <w:t xml:space="preserve">the auto collision and refinish industry, </w:t>
      </w:r>
      <w:r>
        <w:t xml:space="preserve">but </w:t>
      </w:r>
      <w:r w:rsidRPr="00EC39F8">
        <w:t>a</w:t>
      </w:r>
      <w:r>
        <w:t>l</w:t>
      </w:r>
      <w:r w:rsidRPr="00EC39F8">
        <w:t>s</w:t>
      </w:r>
      <w:r>
        <w:t>o</w:t>
      </w:r>
      <w:r w:rsidRPr="00EC39F8">
        <w:t xml:space="preserve"> other related businesses in Maui County.</w:t>
      </w:r>
      <w:r>
        <w:t xml:space="preserve">  </w:t>
      </w:r>
    </w:p>
    <w:p w:rsidR="00FB5D6B" w:rsidRDefault="00FB5D6B" w:rsidP="00FB5D6B">
      <w:pPr>
        <w:pStyle w:val="ListParagraph"/>
        <w:ind w:left="1440"/>
      </w:pPr>
    </w:p>
    <w:p w:rsidR="00DA5836" w:rsidRDefault="00FB5D6B" w:rsidP="00FB5D6B">
      <w:pPr>
        <w:pStyle w:val="ListParagraph"/>
        <w:numPr>
          <w:ilvl w:val="1"/>
          <w:numId w:val="1"/>
        </w:numPr>
      </w:pPr>
      <w:r>
        <w:t>Efficiency Indicator:</w:t>
      </w:r>
    </w:p>
    <w:p w:rsidR="00DC55D8" w:rsidRDefault="00DC55D8" w:rsidP="00FB5D6B">
      <w:pPr>
        <w:pStyle w:val="ListParagraph"/>
        <w:ind w:left="1440"/>
      </w:pPr>
    </w:p>
    <w:p w:rsidR="00FB5D6B" w:rsidRDefault="00DC55D8" w:rsidP="00FB5D6B">
      <w:pPr>
        <w:pStyle w:val="ListParagraph"/>
        <w:ind w:left="1440"/>
      </w:pPr>
      <w:r>
        <w:t xml:space="preserve">As the ABRP Program has been able to maintain its enrollments, program majors enrolled in the APRP Program has been not a strong point for this program.  By offering the curriculum in a self-paced module format, the program is able to fulfill the specific needs of each individual student.  Because instruction on auto collision, corrosion and refinishing is provided in the self-paced format; many students enroll as part-time students for several reasons and it is these students that often choose to not declare themselves as majors in the ABRP Program.  </w:t>
      </w:r>
    </w:p>
    <w:p w:rsidR="00DC55D8" w:rsidRDefault="00DC55D8" w:rsidP="00FB5D6B">
      <w:pPr>
        <w:pStyle w:val="ListParagraph"/>
        <w:ind w:left="1440"/>
      </w:pPr>
    </w:p>
    <w:p w:rsidR="005A36E8" w:rsidRDefault="00DA5836" w:rsidP="005A36E8">
      <w:pPr>
        <w:pStyle w:val="ListParagraph"/>
        <w:numPr>
          <w:ilvl w:val="0"/>
          <w:numId w:val="1"/>
        </w:numPr>
      </w:pPr>
      <w:r>
        <w:t>Industry Va</w:t>
      </w:r>
      <w:r w:rsidR="007B22AC">
        <w:t>li</w:t>
      </w:r>
      <w:r w:rsidR="005A36E8">
        <w:t>dation (check all that apply)</w:t>
      </w:r>
      <w:r w:rsidR="00FB5D6B">
        <w:t>(IV-A)</w:t>
      </w:r>
      <w:r w:rsidR="005A36E8">
        <w:t>:</w:t>
      </w:r>
    </w:p>
    <w:p w:rsidR="009533CE" w:rsidRPr="009533CE" w:rsidRDefault="009533CE" w:rsidP="009533CE">
      <w:pPr>
        <w:pStyle w:val="NormalWeb"/>
        <w:ind w:left="720"/>
        <w:rPr>
          <w:rFonts w:asciiTheme="minorHAnsi" w:hAnsiTheme="minorHAnsi" w:cs="Times New Roman"/>
          <w:sz w:val="22"/>
          <w:szCs w:val="22"/>
        </w:rPr>
      </w:pPr>
      <w:r w:rsidRPr="009533CE">
        <w:rPr>
          <w:rFonts w:asciiTheme="minorHAnsi" w:hAnsiTheme="minorHAnsi" w:cs="Times New Roman"/>
          <w:sz w:val="22"/>
          <w:szCs w:val="22"/>
        </w:rPr>
        <w:t>Currently, there is no official industry validation of the UHMC ABRP Program</w:t>
      </w:r>
      <w:r>
        <w:rPr>
          <w:rFonts w:asciiTheme="minorHAnsi" w:hAnsiTheme="minorHAnsi" w:cs="Times New Roman"/>
          <w:sz w:val="22"/>
          <w:szCs w:val="22"/>
        </w:rPr>
        <w:t>.  Also t</w:t>
      </w:r>
      <w:r w:rsidRPr="009533CE">
        <w:rPr>
          <w:rFonts w:asciiTheme="minorHAnsi" w:hAnsiTheme="minorHAnsi" w:cs="Times New Roman"/>
          <w:sz w:val="22"/>
          <w:szCs w:val="22"/>
        </w:rPr>
        <w:t xml:space="preserve">he UHMC ABRP Advisory Committee had not officially met and the ABRP Program Coordinating Council has not met since 2007.  </w:t>
      </w:r>
      <w:r>
        <w:rPr>
          <w:rFonts w:asciiTheme="minorHAnsi" w:hAnsiTheme="minorHAnsi" w:cs="Times New Roman"/>
          <w:sz w:val="22"/>
          <w:szCs w:val="22"/>
        </w:rPr>
        <w:t xml:space="preserve">Even though the committee has not met as a group, </w:t>
      </w:r>
      <w:r w:rsidR="00AD7FAE">
        <w:rPr>
          <w:rFonts w:asciiTheme="minorHAnsi" w:hAnsiTheme="minorHAnsi" w:cs="Times New Roman"/>
          <w:sz w:val="22"/>
          <w:szCs w:val="22"/>
        </w:rPr>
        <w:t>I</w:t>
      </w:r>
      <w:r w:rsidRPr="009533CE">
        <w:rPr>
          <w:rFonts w:asciiTheme="minorHAnsi" w:hAnsiTheme="minorHAnsi" w:cs="Times New Roman"/>
          <w:sz w:val="22"/>
          <w:szCs w:val="22"/>
        </w:rPr>
        <w:t xml:space="preserve"> always </w:t>
      </w:r>
      <w:r w:rsidR="00AD7FAE">
        <w:rPr>
          <w:rFonts w:asciiTheme="minorHAnsi" w:hAnsiTheme="minorHAnsi" w:cs="Times New Roman"/>
          <w:sz w:val="22"/>
          <w:szCs w:val="22"/>
        </w:rPr>
        <w:t xml:space="preserve">maintain an </w:t>
      </w:r>
      <w:r w:rsidRPr="009533CE">
        <w:rPr>
          <w:rFonts w:asciiTheme="minorHAnsi" w:hAnsiTheme="minorHAnsi" w:cs="Times New Roman"/>
          <w:sz w:val="22"/>
          <w:szCs w:val="22"/>
        </w:rPr>
        <w:t xml:space="preserve">ongoing informal discussion with both the ABRP Advisory Committee members and other individuals from industry when problems or concerns arise concerning the UHMC ABRP Program.  </w:t>
      </w:r>
      <w:r>
        <w:rPr>
          <w:rFonts w:asciiTheme="minorHAnsi" w:hAnsiTheme="minorHAnsi" w:cs="Times New Roman"/>
          <w:sz w:val="22"/>
          <w:szCs w:val="22"/>
        </w:rPr>
        <w:t>I look to the Advisory Committee members as the backbone of the ABRP Program.</w:t>
      </w:r>
    </w:p>
    <w:p w:rsidR="00FB3F7D" w:rsidRDefault="005A36E8" w:rsidP="009533CE">
      <w:pPr>
        <w:pStyle w:val="NormalWeb"/>
        <w:ind w:left="720"/>
        <w:rPr>
          <w:rFonts w:asciiTheme="minorHAnsi" w:hAnsiTheme="minorHAnsi"/>
          <w:sz w:val="22"/>
          <w:szCs w:val="22"/>
        </w:rPr>
      </w:pPr>
      <w:r w:rsidRPr="009533CE">
        <w:rPr>
          <w:rFonts w:asciiTheme="minorHAnsi" w:hAnsiTheme="minorHAnsi"/>
          <w:sz w:val="22"/>
          <w:szCs w:val="22"/>
        </w:rPr>
        <w:t>Advisory Committee Meeting</w:t>
      </w:r>
      <w:r w:rsidR="00E877C5" w:rsidRPr="009533CE">
        <w:rPr>
          <w:rFonts w:asciiTheme="minorHAnsi" w:hAnsiTheme="minorHAnsi"/>
          <w:sz w:val="22"/>
          <w:szCs w:val="22"/>
        </w:rPr>
        <w:t>(</w:t>
      </w:r>
      <w:r w:rsidRPr="009533CE">
        <w:rPr>
          <w:rFonts w:asciiTheme="minorHAnsi" w:hAnsiTheme="minorHAnsi"/>
          <w:sz w:val="22"/>
          <w:szCs w:val="22"/>
        </w:rPr>
        <w:t>s</w:t>
      </w:r>
      <w:r w:rsidR="00E877C5" w:rsidRPr="009533CE">
        <w:rPr>
          <w:rFonts w:asciiTheme="minorHAnsi" w:hAnsiTheme="minorHAnsi"/>
          <w:sz w:val="22"/>
          <w:szCs w:val="22"/>
        </w:rPr>
        <w:t>)</w:t>
      </w:r>
      <w:r w:rsidR="00473788" w:rsidRPr="009533CE">
        <w:rPr>
          <w:rFonts w:asciiTheme="minorHAnsi" w:hAnsiTheme="minorHAnsi"/>
          <w:sz w:val="22"/>
          <w:szCs w:val="22"/>
        </w:rPr>
        <w:t xml:space="preserve"> </w:t>
      </w:r>
      <w:r w:rsidR="00FB3F7D" w:rsidRPr="00FB3F7D">
        <w:rPr>
          <w:rFonts w:asciiTheme="minorHAnsi" w:hAnsiTheme="minorHAnsi"/>
          <w:sz w:val="22"/>
          <w:szCs w:val="22"/>
          <w:u w:val="single"/>
        </w:rPr>
        <w:t>_0_</w:t>
      </w:r>
      <w:r w:rsidR="00E877C5" w:rsidRPr="009533CE">
        <w:rPr>
          <w:rFonts w:asciiTheme="minorHAnsi" w:hAnsiTheme="minorHAnsi"/>
          <w:sz w:val="22"/>
          <w:szCs w:val="22"/>
        </w:rPr>
        <w:t>,</w:t>
      </w:r>
      <w:r w:rsidRPr="009533CE">
        <w:rPr>
          <w:rFonts w:asciiTheme="minorHAnsi" w:hAnsiTheme="minorHAnsi"/>
          <w:sz w:val="22"/>
          <w:szCs w:val="22"/>
        </w:rPr>
        <w:t xml:space="preserve"> How many</w:t>
      </w:r>
      <w:r w:rsidR="00473788" w:rsidRPr="009533CE">
        <w:rPr>
          <w:rFonts w:asciiTheme="minorHAnsi" w:hAnsiTheme="minorHAnsi"/>
          <w:sz w:val="22"/>
          <w:szCs w:val="22"/>
        </w:rPr>
        <w:t xml:space="preserve">? </w:t>
      </w:r>
      <w:r w:rsidR="00473788" w:rsidRPr="00FB3F7D">
        <w:rPr>
          <w:rFonts w:asciiTheme="minorHAnsi" w:hAnsiTheme="minorHAnsi"/>
          <w:sz w:val="22"/>
          <w:szCs w:val="22"/>
          <w:u w:val="single"/>
        </w:rPr>
        <w:t>_</w:t>
      </w:r>
      <w:r w:rsidR="00A268DB" w:rsidRPr="00FB3F7D">
        <w:rPr>
          <w:rFonts w:asciiTheme="minorHAnsi" w:hAnsiTheme="minorHAnsi"/>
          <w:sz w:val="22"/>
          <w:szCs w:val="22"/>
          <w:u w:val="single"/>
        </w:rPr>
        <w:t>0</w:t>
      </w:r>
      <w:r w:rsidR="00473788" w:rsidRPr="00FB3F7D">
        <w:rPr>
          <w:rFonts w:asciiTheme="minorHAnsi" w:hAnsiTheme="minorHAnsi"/>
          <w:sz w:val="22"/>
          <w:szCs w:val="22"/>
          <w:u w:val="single"/>
        </w:rPr>
        <w:t>_</w:t>
      </w:r>
      <w:r w:rsidRPr="009533CE">
        <w:rPr>
          <w:rFonts w:asciiTheme="minorHAnsi" w:hAnsiTheme="minorHAnsi"/>
          <w:sz w:val="22"/>
          <w:szCs w:val="22"/>
        </w:rPr>
        <w:t xml:space="preserve">   </w:t>
      </w:r>
      <w:r w:rsidR="00473788" w:rsidRPr="009533CE">
        <w:rPr>
          <w:rFonts w:asciiTheme="minorHAnsi" w:hAnsiTheme="minorHAnsi"/>
          <w:sz w:val="22"/>
          <w:szCs w:val="22"/>
        </w:rPr>
        <w:t xml:space="preserve">  </w:t>
      </w:r>
      <w:proofErr w:type="gramStart"/>
      <w:r w:rsidR="006F79BE" w:rsidRPr="009533CE">
        <w:rPr>
          <w:rFonts w:asciiTheme="minorHAnsi" w:hAnsiTheme="minorHAnsi"/>
          <w:sz w:val="22"/>
          <w:szCs w:val="22"/>
        </w:rPr>
        <w:t>Did</w:t>
      </w:r>
      <w:proofErr w:type="gramEnd"/>
      <w:r w:rsidR="006F79BE" w:rsidRPr="009533CE">
        <w:rPr>
          <w:rFonts w:asciiTheme="minorHAnsi" w:hAnsiTheme="minorHAnsi"/>
          <w:sz w:val="22"/>
          <w:szCs w:val="22"/>
        </w:rPr>
        <w:t xml:space="preserve"> Advisory Committee discuss CASLO/PLO? </w:t>
      </w:r>
    </w:p>
    <w:p w:rsidR="00473788" w:rsidRPr="009533CE" w:rsidRDefault="006F79BE" w:rsidP="009533CE">
      <w:pPr>
        <w:pStyle w:val="NormalWeb"/>
        <w:ind w:left="720"/>
        <w:rPr>
          <w:rFonts w:asciiTheme="minorHAnsi" w:hAnsiTheme="minorHAnsi"/>
          <w:sz w:val="22"/>
          <w:szCs w:val="22"/>
        </w:rPr>
      </w:pPr>
      <w:r w:rsidRPr="009533CE">
        <w:rPr>
          <w:rFonts w:asciiTheme="minorHAnsi" w:hAnsiTheme="minorHAnsi"/>
          <w:sz w:val="22"/>
          <w:szCs w:val="22"/>
        </w:rPr>
        <w:t>Yes__ No</w:t>
      </w:r>
      <w:r w:rsidR="00FB3F7D">
        <w:rPr>
          <w:rFonts w:asciiTheme="minorHAnsi" w:hAnsiTheme="minorHAnsi"/>
          <w:sz w:val="22"/>
          <w:szCs w:val="22"/>
        </w:rPr>
        <w:t xml:space="preserve"> </w:t>
      </w:r>
      <w:r w:rsidRPr="00FB3F7D">
        <w:rPr>
          <w:rFonts w:asciiTheme="minorHAnsi" w:hAnsiTheme="minorHAnsi"/>
          <w:sz w:val="22"/>
          <w:szCs w:val="22"/>
          <w:u w:val="single"/>
        </w:rPr>
        <w:t>_</w:t>
      </w:r>
      <w:r w:rsidR="00A268DB" w:rsidRPr="00FB3F7D">
        <w:rPr>
          <w:rFonts w:asciiTheme="minorHAnsi" w:hAnsiTheme="minorHAnsi"/>
          <w:sz w:val="22"/>
          <w:szCs w:val="22"/>
          <w:u w:val="single"/>
        </w:rPr>
        <w:t>X</w:t>
      </w:r>
      <w:r w:rsidRPr="00FB3F7D">
        <w:rPr>
          <w:rFonts w:asciiTheme="minorHAnsi" w:hAnsiTheme="minorHAnsi"/>
          <w:sz w:val="22"/>
          <w:szCs w:val="22"/>
          <w:u w:val="single"/>
        </w:rPr>
        <w:t>_</w:t>
      </w:r>
    </w:p>
    <w:p w:rsidR="006F79BE" w:rsidRDefault="005A36E8" w:rsidP="00242411">
      <w:pPr>
        <w:pStyle w:val="ListParagraph"/>
      </w:pPr>
      <w:r>
        <w:t xml:space="preserve">Coop Ed </w:t>
      </w:r>
      <w:r w:rsidR="00E877C5">
        <w:t xml:space="preserve">Placements </w:t>
      </w:r>
      <w:r w:rsidR="00FB3F7D" w:rsidRPr="00FB3F7D">
        <w:rPr>
          <w:u w:val="single"/>
        </w:rPr>
        <w:t>_0_</w:t>
      </w:r>
      <w:r w:rsidR="00473788">
        <w:t xml:space="preserve"> </w:t>
      </w:r>
      <w:r w:rsidR="006F79BE">
        <w:t>F</w:t>
      </w:r>
      <w:r>
        <w:t>und raising</w:t>
      </w:r>
      <w:r w:rsidR="00473788">
        <w:t xml:space="preserve"> activities/events </w:t>
      </w:r>
      <w:r w:rsidR="00FB3F7D" w:rsidRPr="00FB3F7D">
        <w:rPr>
          <w:u w:val="single"/>
        </w:rPr>
        <w:t>_0_</w:t>
      </w:r>
      <w:r w:rsidR="006F79BE">
        <w:t xml:space="preserve">   Service Learning </w:t>
      </w:r>
      <w:r w:rsidR="00FB3F7D" w:rsidRPr="00FB3F7D">
        <w:rPr>
          <w:u w:val="single"/>
        </w:rPr>
        <w:t>_0_</w:t>
      </w:r>
    </w:p>
    <w:p w:rsidR="006F79BE" w:rsidRDefault="00473788" w:rsidP="00242411">
      <w:pPr>
        <w:pStyle w:val="ListParagraph"/>
      </w:pPr>
      <w:r>
        <w:t>Provide</w:t>
      </w:r>
      <w:r w:rsidR="005A36E8">
        <w:t xml:space="preserve"> program </w:t>
      </w:r>
      <w:r>
        <w:t xml:space="preserve">services that </w:t>
      </w:r>
      <w:r w:rsidR="005A36E8">
        <w:t xml:space="preserve">support campus and/or </w:t>
      </w:r>
      <w:r>
        <w:t>community</w:t>
      </w:r>
      <w:r w:rsidR="005A36E8">
        <w:t xml:space="preserve"> </w:t>
      </w:r>
      <w:r w:rsidRPr="00FB3F7D">
        <w:rPr>
          <w:u w:val="single"/>
        </w:rPr>
        <w:t>_</w:t>
      </w:r>
      <w:r w:rsidR="00FB3F7D" w:rsidRPr="00FB3F7D">
        <w:rPr>
          <w:u w:val="single"/>
        </w:rPr>
        <w:t>YES</w:t>
      </w:r>
      <w:r w:rsidRPr="00FB3F7D">
        <w:rPr>
          <w:u w:val="single"/>
        </w:rPr>
        <w:t>_</w:t>
      </w:r>
      <w:r w:rsidR="006F79BE">
        <w:t xml:space="preserve"> Outreach to public schools </w:t>
      </w:r>
      <w:r w:rsidR="00FB3F7D" w:rsidRPr="00FB3F7D">
        <w:rPr>
          <w:u w:val="single"/>
        </w:rPr>
        <w:t>_NO_</w:t>
      </w:r>
    </w:p>
    <w:p w:rsidR="00473788" w:rsidRDefault="00473788" w:rsidP="00242411">
      <w:pPr>
        <w:pStyle w:val="ListParagraph"/>
      </w:pPr>
      <w:r>
        <w:t>P</w:t>
      </w:r>
      <w:r w:rsidR="005A36E8">
        <w:t>artner with other co</w:t>
      </w:r>
      <w:r>
        <w:t>lleges, states and/or countries</w:t>
      </w:r>
      <w:r w:rsidR="005A36E8">
        <w:t xml:space="preserve"> </w:t>
      </w:r>
      <w:r w:rsidRPr="00FB3F7D">
        <w:rPr>
          <w:u w:val="single"/>
        </w:rPr>
        <w:t>_</w:t>
      </w:r>
      <w:r w:rsidR="00FB3F7D" w:rsidRPr="00FB3F7D">
        <w:rPr>
          <w:u w:val="single"/>
        </w:rPr>
        <w:t>NO</w:t>
      </w:r>
      <w:r w:rsidRPr="00FB3F7D">
        <w:rPr>
          <w:u w:val="single"/>
        </w:rPr>
        <w:t>_</w:t>
      </w:r>
      <w:r w:rsidR="006F79BE">
        <w:t xml:space="preserve"> </w:t>
      </w:r>
      <w:r>
        <w:t xml:space="preserve">Partner with businesses and </w:t>
      </w:r>
      <w:r w:rsidR="00E877C5">
        <w:t xml:space="preserve">organizations </w:t>
      </w:r>
      <w:r w:rsidR="00FB3F7D" w:rsidRPr="00FB3F7D">
        <w:rPr>
          <w:u w:val="single"/>
        </w:rPr>
        <w:t>_YES_</w:t>
      </w:r>
      <w:r w:rsidR="00FB3F7D">
        <w:t xml:space="preserve"> </w:t>
      </w:r>
      <w:r w:rsidR="005A36E8">
        <w:t xml:space="preserve"> </w:t>
      </w:r>
      <w:r>
        <w:t xml:space="preserve"> </w:t>
      </w:r>
    </w:p>
    <w:p w:rsidR="006F79BE" w:rsidRDefault="00FB5D6B" w:rsidP="00242411">
      <w:pPr>
        <w:pStyle w:val="ListParagraph"/>
      </w:pPr>
      <w:r>
        <w:t>Other</w:t>
      </w:r>
      <w:r w:rsidR="00FB3F7D">
        <w:t xml:space="preserve">  </w:t>
      </w:r>
      <w:r w:rsidR="002E162A">
        <w:t xml:space="preserve">      </w:t>
      </w:r>
      <w:r w:rsidR="00FB3F7D" w:rsidRPr="002E162A">
        <w:rPr>
          <w:u w:val="single"/>
        </w:rPr>
        <w:t xml:space="preserve">Inter Industry Conference on Collision </w:t>
      </w:r>
      <w:r w:rsidR="002E162A" w:rsidRPr="002E162A">
        <w:rPr>
          <w:u w:val="single"/>
        </w:rPr>
        <w:t xml:space="preserve">Repair (IICAR)                      </w:t>
      </w:r>
    </w:p>
    <w:p w:rsidR="0047371C" w:rsidRDefault="0047371C" w:rsidP="00473788">
      <w:pPr>
        <w:pStyle w:val="ListParagraph"/>
        <w:ind w:left="0"/>
      </w:pPr>
    </w:p>
    <w:p w:rsidR="0026011E" w:rsidRDefault="00473788" w:rsidP="00DA5836">
      <w:pPr>
        <w:pStyle w:val="ListParagraph"/>
        <w:numPr>
          <w:ilvl w:val="0"/>
          <w:numId w:val="1"/>
        </w:numPr>
      </w:pPr>
      <w:r>
        <w:t>List</w:t>
      </w:r>
      <w:r w:rsidR="0026011E">
        <w:t xml:space="preserve"> PLOs</w:t>
      </w:r>
      <w:r>
        <w:t xml:space="preserve"> (attach Program Map)</w:t>
      </w:r>
      <w:r w:rsidR="00FB5D6B">
        <w:t>(IV):</w:t>
      </w:r>
    </w:p>
    <w:p w:rsidR="00DE0433" w:rsidRPr="00CF29BC" w:rsidRDefault="00DE0433" w:rsidP="00DE0433">
      <w:pPr>
        <w:pStyle w:val="BodyTextIndent2"/>
        <w:ind w:left="720"/>
        <w:rPr>
          <w:rFonts w:asciiTheme="minorHAnsi" w:hAnsiTheme="minorHAnsi"/>
          <w:sz w:val="22"/>
          <w:szCs w:val="22"/>
        </w:rPr>
      </w:pPr>
      <w:r w:rsidRPr="00CF29BC">
        <w:rPr>
          <w:rFonts w:asciiTheme="minorHAnsi" w:hAnsiTheme="minorHAnsi"/>
          <w:sz w:val="22"/>
          <w:szCs w:val="22"/>
        </w:rPr>
        <w:t xml:space="preserve">1. </w:t>
      </w:r>
      <w:r w:rsidRPr="00CF29BC">
        <w:rPr>
          <w:rFonts w:asciiTheme="minorHAnsi" w:hAnsiTheme="minorHAnsi"/>
          <w:sz w:val="22"/>
          <w:szCs w:val="22"/>
        </w:rPr>
        <w:tab/>
        <w:t xml:space="preserve">Explain and describe both personal and public health and safety issues as it pertains to the products used in the auto collision repair and auto refinishing industry. Describe in general the effect of these products have on themselves, co-workers and the environment. Demonstrate proper personal and public safety precautions to be utilized when using these products. Will be able to identify hazardous products and describe the proper methods of disposal for different types of hazardous waste. </w:t>
      </w:r>
    </w:p>
    <w:p w:rsidR="00DE0433" w:rsidRPr="00CF29BC" w:rsidRDefault="00DE0433" w:rsidP="00DE0433">
      <w:pPr>
        <w:pStyle w:val="BodyTextIndent2"/>
        <w:ind w:left="720"/>
        <w:rPr>
          <w:rFonts w:asciiTheme="minorHAnsi" w:hAnsiTheme="minorHAnsi"/>
          <w:sz w:val="22"/>
          <w:szCs w:val="22"/>
        </w:rPr>
      </w:pPr>
      <w:r w:rsidRPr="00CF29BC">
        <w:rPr>
          <w:rFonts w:asciiTheme="minorHAnsi" w:hAnsiTheme="minorHAnsi"/>
          <w:sz w:val="22"/>
          <w:szCs w:val="22"/>
        </w:rPr>
        <w:lastRenderedPageBreak/>
        <w:t xml:space="preserve">2. </w:t>
      </w:r>
      <w:r w:rsidRPr="00CF29BC">
        <w:rPr>
          <w:rFonts w:asciiTheme="minorHAnsi" w:hAnsiTheme="minorHAnsi"/>
          <w:sz w:val="22"/>
          <w:szCs w:val="22"/>
        </w:rPr>
        <w:tab/>
        <w:t xml:space="preserve">Describe and demonstrate proper and safe usage as pertaining to the hand and power tools and equipment needed to complete the required tasks for auto body sheet metal repair for the return both exterior and interior sheet metal of a vehicle to a like new condition. </w:t>
      </w:r>
    </w:p>
    <w:p w:rsidR="00DE0433" w:rsidRPr="00CF29BC" w:rsidRDefault="00DE0433" w:rsidP="00DE0433">
      <w:pPr>
        <w:pStyle w:val="BodyTextIndent2"/>
        <w:ind w:left="720"/>
        <w:rPr>
          <w:rFonts w:asciiTheme="minorHAnsi" w:hAnsiTheme="minorHAnsi"/>
          <w:sz w:val="22"/>
          <w:szCs w:val="22"/>
        </w:rPr>
      </w:pPr>
      <w:r w:rsidRPr="00CF29BC">
        <w:rPr>
          <w:rFonts w:asciiTheme="minorHAnsi" w:hAnsiTheme="minorHAnsi"/>
          <w:sz w:val="22"/>
          <w:szCs w:val="22"/>
        </w:rPr>
        <w:t xml:space="preserve">3. </w:t>
      </w:r>
      <w:r w:rsidRPr="00CF29BC">
        <w:rPr>
          <w:rFonts w:asciiTheme="minorHAnsi" w:hAnsiTheme="minorHAnsi"/>
          <w:sz w:val="22"/>
          <w:szCs w:val="22"/>
        </w:rPr>
        <w:tab/>
        <w:t xml:space="preserve">Employ required math and reading skills to be able to complete vehicle repairs as described from a work order and also written specifications when using vehicle service information or a vehicle dimensioning manual, obtained either as a hard copy or on line. Be able to communicate both written and verbally with fellow employees and other shop personnel. </w:t>
      </w:r>
    </w:p>
    <w:p w:rsidR="00DE0433" w:rsidRPr="00CF29BC" w:rsidRDefault="00DE0433" w:rsidP="00DE0433">
      <w:pPr>
        <w:pStyle w:val="BodyTextIndent2"/>
        <w:ind w:left="720"/>
        <w:rPr>
          <w:rFonts w:asciiTheme="minorHAnsi" w:hAnsiTheme="minorHAnsi"/>
          <w:sz w:val="22"/>
          <w:szCs w:val="22"/>
        </w:rPr>
      </w:pPr>
      <w:r w:rsidRPr="00CF29BC">
        <w:rPr>
          <w:rFonts w:asciiTheme="minorHAnsi" w:hAnsiTheme="minorHAnsi"/>
          <w:sz w:val="22"/>
          <w:szCs w:val="22"/>
        </w:rPr>
        <w:t xml:space="preserve">4. </w:t>
      </w:r>
      <w:r w:rsidRPr="00CF29BC">
        <w:rPr>
          <w:rFonts w:asciiTheme="minorHAnsi" w:hAnsiTheme="minorHAnsi"/>
          <w:sz w:val="22"/>
          <w:szCs w:val="22"/>
        </w:rPr>
        <w:tab/>
        <w:t xml:space="preserve">Demonstrate the proper MIG and resistance spot welding skills required to achieve a weld that is equal to factory specifications for a given type of repair, in a safe manner. Be able to identify and correct MIG and resistance spot welds that are not compliant with factory recommendations for acceptable repairs. </w:t>
      </w:r>
    </w:p>
    <w:p w:rsidR="00DE0433" w:rsidRPr="00CF29BC" w:rsidRDefault="00DE0433" w:rsidP="00DE0433">
      <w:pPr>
        <w:pStyle w:val="BodyTextIndent2"/>
        <w:ind w:left="720"/>
        <w:rPr>
          <w:rFonts w:asciiTheme="minorHAnsi" w:hAnsiTheme="minorHAnsi"/>
          <w:sz w:val="22"/>
          <w:szCs w:val="22"/>
        </w:rPr>
      </w:pPr>
      <w:r w:rsidRPr="00CF29BC">
        <w:rPr>
          <w:rFonts w:asciiTheme="minorHAnsi" w:hAnsiTheme="minorHAnsi"/>
          <w:sz w:val="22"/>
          <w:szCs w:val="22"/>
        </w:rPr>
        <w:t xml:space="preserve">5. </w:t>
      </w:r>
      <w:r w:rsidRPr="00CF29BC">
        <w:rPr>
          <w:rFonts w:asciiTheme="minorHAnsi" w:hAnsiTheme="minorHAnsi"/>
          <w:sz w:val="22"/>
          <w:szCs w:val="22"/>
        </w:rPr>
        <w:tab/>
        <w:t xml:space="preserve">Display the appropriate refinishing skills required to achieve a vehicle topcoat (finish) that is equal to factory refinishing specifications. Describe the health and safety issues surrounding the use and disposal of refinishing and related materials. Be able to identify and correct paint imperfections in the topcoat to meet factory recommendations for an acceptable finish. Also, describe and demonstrate proper and safe usage as pertaining to the hand and power tools and refinishing tools and equipment employed when refinishing a vehicle, both touch-up repair and complete vehicle refinishing. </w:t>
      </w:r>
    </w:p>
    <w:p w:rsidR="00DE0433" w:rsidRPr="00CF29BC" w:rsidRDefault="00DE0433" w:rsidP="00DE0433">
      <w:pPr>
        <w:pStyle w:val="BodyTextIndent2"/>
        <w:ind w:left="720"/>
        <w:rPr>
          <w:rFonts w:asciiTheme="minorHAnsi" w:hAnsiTheme="minorHAnsi"/>
          <w:sz w:val="22"/>
          <w:szCs w:val="22"/>
        </w:rPr>
      </w:pPr>
      <w:r w:rsidRPr="00CF29BC">
        <w:rPr>
          <w:rFonts w:asciiTheme="minorHAnsi" w:hAnsiTheme="minorHAnsi"/>
          <w:sz w:val="22"/>
          <w:szCs w:val="22"/>
        </w:rPr>
        <w:t xml:space="preserve">6. </w:t>
      </w:r>
      <w:r w:rsidRPr="00CF29BC">
        <w:rPr>
          <w:rFonts w:asciiTheme="minorHAnsi" w:hAnsiTheme="minorHAnsi"/>
          <w:sz w:val="22"/>
          <w:szCs w:val="22"/>
        </w:rPr>
        <w:tab/>
        <w:t>Present to the prospective employer the required skills for entry-level employability in the auto body repair and refinishing trade, along with proper work attitude and ethics. Student will also exhibit responsibility and professionalism required when seeking employment in the auto body repair and refinishing trade.</w:t>
      </w:r>
    </w:p>
    <w:p w:rsidR="008A7DDD" w:rsidRDefault="008A7DDD" w:rsidP="008A7DDD">
      <w:pPr>
        <w:spacing w:after="0" w:line="240" w:lineRule="auto"/>
        <w:rPr>
          <w:rFonts w:ascii="Times New Roman" w:eastAsia="Times New Roman" w:hAnsi="Times New Roman" w:cs="Times New Roman"/>
          <w:b/>
          <w:sz w:val="24"/>
          <w:szCs w:val="24"/>
        </w:rPr>
      </w:pPr>
    </w:p>
    <w:p w:rsidR="008A7DDD" w:rsidRPr="008A7DDD" w:rsidRDefault="008A7DDD" w:rsidP="008A7DDD">
      <w:pPr>
        <w:spacing w:after="0" w:line="240" w:lineRule="auto"/>
        <w:ind w:left="720" w:firstLine="720"/>
        <w:jc w:val="center"/>
        <w:rPr>
          <w:rFonts w:eastAsia="Times New Roman" w:cs="Times New Roman"/>
          <w:b/>
        </w:rPr>
      </w:pPr>
      <w:r w:rsidRPr="008A7DDD">
        <w:rPr>
          <w:rFonts w:eastAsia="Times New Roman" w:cs="Times New Roman"/>
          <w:b/>
        </w:rPr>
        <w:t>Map of Program Learning Outcomes by Course</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1255"/>
        <w:gridCol w:w="1264"/>
        <w:gridCol w:w="1264"/>
        <w:gridCol w:w="1264"/>
        <w:gridCol w:w="1264"/>
        <w:gridCol w:w="1264"/>
      </w:tblGrid>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PL0 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PLO 2</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PLO 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PLO 4</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PLO 5</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PLO 6</w:t>
            </w:r>
          </w:p>
        </w:tc>
      </w:tr>
      <w:tr w:rsidR="008A7DDD" w:rsidRPr="008A7DDD" w:rsidTr="008A7DDD">
        <w:trPr>
          <w:trHeight w:val="287"/>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20E</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20F</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20G</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20H</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20I</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22E</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22F</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22G</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22H</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22I</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40E</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40F</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40G</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40H</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40I</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41E</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41F</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41G</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2</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41H</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41I</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lastRenderedPageBreak/>
              <w:t>ABRP 44E</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44F</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44G</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44H</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1</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N/A</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r w:rsidR="008A7DDD" w:rsidRPr="008A7DDD" w:rsidTr="008A7DDD">
        <w:trPr>
          <w:jc w:val="center"/>
        </w:trPr>
        <w:tc>
          <w:tcPr>
            <w:tcW w:w="1281" w:type="dxa"/>
          </w:tcPr>
          <w:p w:rsidR="008A7DDD" w:rsidRPr="008A7DDD" w:rsidRDefault="008A7DDD" w:rsidP="008A7DDD">
            <w:pPr>
              <w:spacing w:after="0" w:line="360" w:lineRule="auto"/>
              <w:rPr>
                <w:rFonts w:eastAsia="Times New Roman" w:cs="Times New Roman"/>
              </w:rPr>
            </w:pPr>
            <w:r w:rsidRPr="008A7DDD">
              <w:rPr>
                <w:rFonts w:eastAsia="Times New Roman" w:cs="Times New Roman"/>
              </w:rPr>
              <w:t>ABRP 44I</w:t>
            </w:r>
          </w:p>
        </w:tc>
        <w:tc>
          <w:tcPr>
            <w:tcW w:w="1255"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c>
          <w:tcPr>
            <w:tcW w:w="1264" w:type="dxa"/>
          </w:tcPr>
          <w:p w:rsidR="008A7DDD" w:rsidRPr="008A7DDD" w:rsidRDefault="008A7DDD" w:rsidP="008A7DDD">
            <w:pPr>
              <w:spacing w:after="0" w:line="360" w:lineRule="auto"/>
              <w:jc w:val="center"/>
              <w:rPr>
                <w:rFonts w:eastAsia="Times New Roman" w:cs="Times New Roman"/>
              </w:rPr>
            </w:pPr>
            <w:r w:rsidRPr="008A7DDD">
              <w:rPr>
                <w:rFonts w:eastAsia="Times New Roman" w:cs="Times New Roman"/>
              </w:rPr>
              <w:t>3</w:t>
            </w:r>
          </w:p>
        </w:tc>
      </w:tr>
    </w:tbl>
    <w:p w:rsidR="008A7DDD" w:rsidRPr="008A7DDD" w:rsidRDefault="008A7DDD" w:rsidP="008A7DDD">
      <w:pPr>
        <w:spacing w:after="0" w:line="360" w:lineRule="auto"/>
        <w:rPr>
          <w:rFonts w:eastAsia="Times New Roman" w:cs="Times New Roman"/>
        </w:rPr>
      </w:pPr>
    </w:p>
    <w:p w:rsidR="008A7DDD" w:rsidRPr="008A7DDD" w:rsidRDefault="008A7DDD" w:rsidP="008A7DDD">
      <w:pPr>
        <w:pStyle w:val="ListParagraph"/>
        <w:numPr>
          <w:ilvl w:val="0"/>
          <w:numId w:val="3"/>
        </w:numPr>
        <w:spacing w:after="0" w:line="240" w:lineRule="auto"/>
        <w:jc w:val="center"/>
        <w:rPr>
          <w:rFonts w:eastAsia="Times New Roman" w:cs="Times New Roman"/>
        </w:rPr>
      </w:pPr>
      <w:r w:rsidRPr="008A7DDD">
        <w:rPr>
          <w:rFonts w:eastAsia="Times New Roman" w:cs="Times New Roman"/>
        </w:rPr>
        <w:t xml:space="preserve">Student </w:t>
      </w:r>
      <w:r w:rsidR="00B54B7C">
        <w:rPr>
          <w:rFonts w:eastAsia="Times New Roman" w:cs="Times New Roman"/>
        </w:rPr>
        <w:t>“</w:t>
      </w:r>
      <w:r w:rsidRPr="008A7DDD">
        <w:rPr>
          <w:rFonts w:eastAsia="Times New Roman" w:cs="Times New Roman"/>
        </w:rPr>
        <w:t>should</w:t>
      </w:r>
      <w:r w:rsidR="00B54B7C">
        <w:rPr>
          <w:rFonts w:eastAsia="Times New Roman" w:cs="Times New Roman"/>
        </w:rPr>
        <w:t>”</w:t>
      </w:r>
      <w:r w:rsidRPr="008A7DDD">
        <w:rPr>
          <w:rFonts w:eastAsia="Times New Roman" w:cs="Times New Roman"/>
        </w:rPr>
        <w:t xml:space="preserve"> be able to discuss and demonstrate a basic understanding of subject matter.</w:t>
      </w:r>
    </w:p>
    <w:p w:rsidR="008A7DDD" w:rsidRPr="008A7DDD" w:rsidRDefault="008A7DDD" w:rsidP="008A7DDD">
      <w:pPr>
        <w:spacing w:after="0" w:line="240" w:lineRule="auto"/>
        <w:jc w:val="center"/>
        <w:rPr>
          <w:rFonts w:eastAsia="Times New Roman" w:cs="Times New Roman"/>
        </w:rPr>
      </w:pPr>
      <w:r>
        <w:rPr>
          <w:rFonts w:eastAsia="Times New Roman" w:cs="Times New Roman"/>
        </w:rPr>
        <w:t>2</w:t>
      </w:r>
      <w:r w:rsidRPr="008A7DDD">
        <w:rPr>
          <w:rFonts w:eastAsia="Times New Roman" w:cs="Times New Roman"/>
        </w:rPr>
        <w:t>.</w:t>
      </w:r>
      <w:r w:rsidRPr="008A7DDD">
        <w:rPr>
          <w:rFonts w:eastAsia="Times New Roman" w:cs="Times New Roman"/>
        </w:rPr>
        <w:tab/>
        <w:t>Student “can” demonstrate acceptable performance and understanding of subject matter.</w:t>
      </w:r>
    </w:p>
    <w:p w:rsidR="008A7DDD" w:rsidRPr="008A7DDD" w:rsidRDefault="008A7DDD" w:rsidP="008A7DDD">
      <w:pPr>
        <w:spacing w:after="0" w:line="240" w:lineRule="auto"/>
        <w:jc w:val="center"/>
        <w:rPr>
          <w:rFonts w:eastAsia="Times New Roman" w:cs="Times New Roman"/>
        </w:rPr>
      </w:pPr>
      <w:r w:rsidRPr="008A7DDD">
        <w:rPr>
          <w:rFonts w:eastAsia="Times New Roman" w:cs="Times New Roman"/>
        </w:rPr>
        <w:t>3.</w:t>
      </w:r>
      <w:r w:rsidRPr="008A7DDD">
        <w:rPr>
          <w:rFonts w:eastAsia="Times New Roman" w:cs="Times New Roman"/>
        </w:rPr>
        <w:tab/>
        <w:t>Student “will” demonstrate acceptable performance and understanding of subject matter.</w:t>
      </w:r>
    </w:p>
    <w:p w:rsidR="008A7DDD" w:rsidRDefault="008A7DDD" w:rsidP="008A7DDD">
      <w:pPr>
        <w:pStyle w:val="ListParagraph"/>
      </w:pPr>
    </w:p>
    <w:p w:rsidR="009C5723" w:rsidRDefault="009C5723" w:rsidP="009C5723">
      <w:pPr>
        <w:pStyle w:val="ListParagraph"/>
        <w:numPr>
          <w:ilvl w:val="0"/>
          <w:numId w:val="1"/>
        </w:numPr>
      </w:pPr>
      <w:r>
        <w:t xml:space="preserve">Instrument used for assessment (check all that apply) </w:t>
      </w:r>
      <w:r w:rsidR="00FB5D6B">
        <w:t>(IV-</w:t>
      </w:r>
      <w:r w:rsidR="0047371C">
        <w:t>B</w:t>
      </w:r>
      <w:r w:rsidR="00FB5D6B">
        <w:t>):</w:t>
      </w:r>
    </w:p>
    <w:p w:rsidR="009C5723" w:rsidRDefault="009C5723" w:rsidP="00242411">
      <w:pPr>
        <w:pStyle w:val="ListParagraph"/>
      </w:pPr>
      <w:r>
        <w:t>Work Sample</w:t>
      </w:r>
      <w:r w:rsidR="000803E4">
        <w:t xml:space="preserve"> </w:t>
      </w:r>
      <w:r w:rsidRPr="000803E4">
        <w:rPr>
          <w:u w:val="single"/>
        </w:rPr>
        <w:t>_</w:t>
      </w:r>
      <w:r w:rsidR="00A268DB" w:rsidRPr="000803E4">
        <w:rPr>
          <w:u w:val="single"/>
        </w:rPr>
        <w:t>X</w:t>
      </w:r>
      <w:r w:rsidRPr="000803E4">
        <w:rPr>
          <w:u w:val="single"/>
        </w:rPr>
        <w:t>_</w:t>
      </w:r>
      <w:r>
        <w:t xml:space="preserve">   Portfolio__ Project </w:t>
      </w:r>
      <w:r w:rsidRPr="000803E4">
        <w:rPr>
          <w:u w:val="single"/>
        </w:rPr>
        <w:t>_</w:t>
      </w:r>
      <w:r w:rsidR="00A268DB" w:rsidRPr="000803E4">
        <w:rPr>
          <w:u w:val="single"/>
        </w:rPr>
        <w:t>X</w:t>
      </w:r>
      <w:r w:rsidRPr="000803E4">
        <w:rPr>
          <w:u w:val="single"/>
        </w:rPr>
        <w:t>_</w:t>
      </w:r>
      <w:r>
        <w:t xml:space="preserve"> </w:t>
      </w:r>
      <w:r w:rsidR="000803E4">
        <w:t>E</w:t>
      </w:r>
      <w:r>
        <w:t xml:space="preserve">xam </w:t>
      </w:r>
      <w:r w:rsidRPr="000803E4">
        <w:rPr>
          <w:u w:val="single"/>
        </w:rPr>
        <w:t>_</w:t>
      </w:r>
      <w:r w:rsidR="00A268DB" w:rsidRPr="000803E4">
        <w:rPr>
          <w:u w:val="single"/>
        </w:rPr>
        <w:t>X</w:t>
      </w:r>
      <w:r>
        <w:t>_ Writing Sample __</w:t>
      </w:r>
    </w:p>
    <w:p w:rsidR="009C5723" w:rsidRDefault="009C5723" w:rsidP="00242411">
      <w:pPr>
        <w:pStyle w:val="ListParagraph"/>
      </w:pPr>
      <w:r>
        <w:t>Other__ Please explain_________________________________________________</w:t>
      </w:r>
    </w:p>
    <w:p w:rsidR="00D84CD3" w:rsidRPr="00CF29BC" w:rsidRDefault="00D84CD3" w:rsidP="00D84CD3">
      <w:pPr>
        <w:spacing w:after="0" w:line="240" w:lineRule="auto"/>
        <w:ind w:left="720"/>
        <w:rPr>
          <w:rFonts w:eastAsia="Times New Roman" w:cs="Times New Roman"/>
        </w:rPr>
      </w:pPr>
      <w:r w:rsidRPr="00CF29BC">
        <w:rPr>
          <w:rFonts w:eastAsia="Times New Roman" w:cs="Times New Roman"/>
        </w:rPr>
        <w:t>All students are required to complete a capstone class prior to proceeding into the next major segment of the ABRP Program.  They expected to complete all text/workbook assignments and a “live-project” in the laboratory to meet minimal or entry level industry standards.  One example is a student in the basic auto body repair must complete a project employing the skills and knowledge they acquired their previous basic auto body modules, such as corrosion repair.  Another example is the student is required refinish a complete vehicle to industry standards and more importantly, a vehicles owner satisfaction.</w:t>
      </w:r>
    </w:p>
    <w:p w:rsidR="000803E4" w:rsidRDefault="000803E4" w:rsidP="00242411">
      <w:pPr>
        <w:pStyle w:val="ListParagraph"/>
      </w:pPr>
    </w:p>
    <w:p w:rsidR="00DA5836" w:rsidRDefault="00DA5836" w:rsidP="00DA5836">
      <w:pPr>
        <w:pStyle w:val="ListParagraph"/>
        <w:numPr>
          <w:ilvl w:val="0"/>
          <w:numId w:val="1"/>
        </w:numPr>
      </w:pPr>
      <w:r>
        <w:t>Which course or co</w:t>
      </w:r>
      <w:r w:rsidR="00E877C5">
        <w:t>urses did you use to assess PLOs and CASLO</w:t>
      </w:r>
      <w:r w:rsidR="00FB5D6B">
        <w:t xml:space="preserve"> (IV-C)</w:t>
      </w:r>
      <w:r>
        <w:t xml:space="preserve">? </w:t>
      </w:r>
    </w:p>
    <w:p w:rsidR="000803E4" w:rsidRDefault="000803E4" w:rsidP="000803E4">
      <w:pPr>
        <w:pStyle w:val="ListParagraph"/>
      </w:pPr>
    </w:p>
    <w:p w:rsidR="00DA5836" w:rsidRDefault="000803E4" w:rsidP="00DA5836">
      <w:pPr>
        <w:pStyle w:val="ListParagraph"/>
      </w:pPr>
      <w:r w:rsidRPr="006407FA">
        <w:t xml:space="preserve">During the </w:t>
      </w:r>
      <w:r w:rsidR="00CF29BC">
        <w:t>s</w:t>
      </w:r>
      <w:r w:rsidRPr="006407FA">
        <w:t>pring 2014</w:t>
      </w:r>
      <w:r>
        <w:t>,</w:t>
      </w:r>
      <w:r w:rsidR="00CF29BC" w:rsidRPr="00CF29BC">
        <w:t xml:space="preserve"> </w:t>
      </w:r>
      <w:r w:rsidR="00CF29BC">
        <w:t xml:space="preserve">I began to </w:t>
      </w:r>
      <w:r w:rsidR="00CF29BC" w:rsidRPr="006407FA">
        <w:t xml:space="preserve">review </w:t>
      </w:r>
      <w:r w:rsidRPr="006407FA">
        <w:t xml:space="preserve">the ABRP 22E module </w:t>
      </w:r>
      <w:r w:rsidR="00797792">
        <w:t xml:space="preserve">as </w:t>
      </w:r>
      <w:r w:rsidR="00CF29BC">
        <w:t>this module</w:t>
      </w:r>
      <w:r w:rsidR="00797792">
        <w:t xml:space="preserve"> could </w:t>
      </w:r>
      <w:r w:rsidR="00CF29BC">
        <w:t xml:space="preserve">also </w:t>
      </w:r>
      <w:r w:rsidR="00797792">
        <w:t xml:space="preserve">be used as an entry into the ABRP Program.  </w:t>
      </w:r>
      <w:r w:rsidR="005D1D6F">
        <w:t>I reviewed</w:t>
      </w:r>
      <w:r w:rsidR="0092626B">
        <w:t xml:space="preserve"> the </w:t>
      </w:r>
      <w:r w:rsidR="005D1D6F">
        <w:t xml:space="preserve">ABRP Program </w:t>
      </w:r>
      <w:r w:rsidR="0092626B">
        <w:t xml:space="preserve">PLO outcomes to insure they are incorporated into the students learning experience.  </w:t>
      </w:r>
      <w:r w:rsidR="00797792">
        <w:t xml:space="preserve">Additional </w:t>
      </w:r>
      <w:r w:rsidRPr="006407FA">
        <w:t>revis</w:t>
      </w:r>
      <w:r>
        <w:t xml:space="preserve">ions </w:t>
      </w:r>
      <w:r w:rsidR="00CF29BC">
        <w:t xml:space="preserve">to the ARBP 22E module </w:t>
      </w:r>
      <w:r w:rsidR="00797792">
        <w:t>are</w:t>
      </w:r>
      <w:r>
        <w:t xml:space="preserve"> </w:t>
      </w:r>
      <w:r w:rsidRPr="006407FA">
        <w:t xml:space="preserve">to include latest IICAR training information and prepare the </w:t>
      </w:r>
      <w:r>
        <w:t xml:space="preserve">laboratory </w:t>
      </w:r>
      <w:r w:rsidRPr="006407FA">
        <w:t>refinishing portion of the ABRP Program to include the instruction and use of water-borne refinishing materials in the curriculum to prepare the students for entry into the vocation as a</w:t>
      </w:r>
      <w:r>
        <w:t>n apprentice</w:t>
      </w:r>
      <w:r w:rsidRPr="006407FA">
        <w:t xml:space="preserve"> refinishing technician.</w:t>
      </w:r>
      <w:r>
        <w:t xml:space="preserve">  </w:t>
      </w:r>
    </w:p>
    <w:p w:rsidR="000803E4" w:rsidRDefault="000803E4" w:rsidP="00DA5836">
      <w:pPr>
        <w:pStyle w:val="ListParagraph"/>
      </w:pPr>
    </w:p>
    <w:p w:rsidR="00DA5836" w:rsidRDefault="009C5723" w:rsidP="00DA5836">
      <w:pPr>
        <w:pStyle w:val="ListParagraph"/>
        <w:numPr>
          <w:ilvl w:val="0"/>
          <w:numId w:val="1"/>
        </w:numPr>
      </w:pPr>
      <w:r>
        <w:t>List</w:t>
      </w:r>
      <w:r w:rsidR="00DA5836">
        <w:t xml:space="preserve"> strengths </w:t>
      </w:r>
      <w:r w:rsidR="00E60327">
        <w:t xml:space="preserve">and weaknesses found </w:t>
      </w:r>
      <w:r w:rsidR="00DA5836">
        <w:t xml:space="preserve">from </w:t>
      </w:r>
      <w:r w:rsidR="0026011E">
        <w:t xml:space="preserve">PLO </w:t>
      </w:r>
      <w:r w:rsidR="00DA5836">
        <w:t>assessment analysis</w:t>
      </w:r>
      <w:r w:rsidR="00FB5D6B">
        <w:t xml:space="preserve"> (IV-</w:t>
      </w:r>
      <w:r w:rsidR="0047371C">
        <w:t>E</w:t>
      </w:r>
      <w:r w:rsidR="00FB5D6B">
        <w:t>):</w:t>
      </w:r>
    </w:p>
    <w:p w:rsidR="00CF29BC" w:rsidRDefault="00CF29BC" w:rsidP="00CF29BC">
      <w:pPr>
        <w:pStyle w:val="ListParagraph"/>
      </w:pPr>
    </w:p>
    <w:p w:rsidR="00CF29BC" w:rsidRDefault="0073211D" w:rsidP="00345CA9">
      <w:pPr>
        <w:pStyle w:val="ListParagraph"/>
      </w:pPr>
      <w:r>
        <w:t>A</w:t>
      </w:r>
      <w:r w:rsidR="00345CA9">
        <w:t xml:space="preserve"> deficiency in the ABRP 20F module</w:t>
      </w:r>
      <w:r w:rsidR="00345CA9" w:rsidRPr="00345CA9">
        <w:t xml:space="preserve"> </w:t>
      </w:r>
      <w:r w:rsidR="00345CA9">
        <w:t>concerning the laboratory exercises</w:t>
      </w:r>
      <w:r>
        <w:t xml:space="preserve"> was brought to my attention</w:t>
      </w:r>
      <w:r w:rsidRPr="0073211D">
        <w:t xml:space="preserve"> </w:t>
      </w:r>
      <w:r>
        <w:t>by a member of the ABRP Advisory Committee</w:t>
      </w:r>
      <w:r w:rsidR="00345CA9">
        <w:t xml:space="preserve">.  </w:t>
      </w:r>
      <w:r w:rsidR="00693592">
        <w:t>By e</w:t>
      </w:r>
      <w:r w:rsidR="00CF29BC">
        <w:t xml:space="preserve">mploying the </w:t>
      </w:r>
      <w:r w:rsidR="00693592">
        <w:t>ABRP P</w:t>
      </w:r>
      <w:r w:rsidR="00CF29BC">
        <w:t xml:space="preserve">rogram PLO </w:t>
      </w:r>
      <w:r w:rsidR="00345CA9">
        <w:t xml:space="preserve">for </w:t>
      </w:r>
      <w:r>
        <w:t xml:space="preserve">during </w:t>
      </w:r>
      <w:r w:rsidR="00345CA9">
        <w:t xml:space="preserve">the assessment of the ABRP20F module, </w:t>
      </w:r>
      <w:r w:rsidR="00CF29BC">
        <w:t xml:space="preserve">I started </w:t>
      </w:r>
      <w:r>
        <w:t>the proc</w:t>
      </w:r>
      <w:r w:rsidR="00CF29BC">
        <w:t xml:space="preserve">ess </w:t>
      </w:r>
      <w:r w:rsidR="0092626B">
        <w:t xml:space="preserve">of revising </w:t>
      </w:r>
      <w:r w:rsidR="00CF29BC">
        <w:t xml:space="preserve">the ABRP 20F (welding) module during the </w:t>
      </w:r>
      <w:r w:rsidR="00345CA9">
        <w:t xml:space="preserve">fall 2012 and completed </w:t>
      </w:r>
      <w:r w:rsidR="0092626B">
        <w:t xml:space="preserve">the revision </w:t>
      </w:r>
      <w:r w:rsidR="00345CA9">
        <w:t xml:space="preserve">during the </w:t>
      </w:r>
      <w:r w:rsidR="00CF29BC">
        <w:t>spring 2013 semeste</w:t>
      </w:r>
      <w:r w:rsidR="00345CA9">
        <w:t>r</w:t>
      </w:r>
      <w:r w:rsidR="0092626B">
        <w:t xml:space="preserve"> and a major</w:t>
      </w:r>
      <w:r w:rsidR="00CF29BC">
        <w:t xml:space="preserve"> change was incorporated into the laboratory exercises </w:t>
      </w:r>
      <w:r w:rsidR="0092626B">
        <w:t xml:space="preserve">of the students </w:t>
      </w:r>
      <w:r w:rsidR="00CF29BC">
        <w:t xml:space="preserve">during the fall 2013.  Another </w:t>
      </w:r>
      <w:r w:rsidR="00693592">
        <w:t xml:space="preserve">revision </w:t>
      </w:r>
      <w:r w:rsidR="00345CA9">
        <w:t>to</w:t>
      </w:r>
      <w:r w:rsidR="00CF29BC">
        <w:t xml:space="preserve"> the ABRP 20F module was </w:t>
      </w:r>
      <w:r w:rsidR="00345CA9">
        <w:t>a</w:t>
      </w:r>
      <w:r w:rsidR="00693592">
        <w:t xml:space="preserve"> </w:t>
      </w:r>
      <w:r w:rsidR="00CF29BC">
        <w:t>modifi</w:t>
      </w:r>
      <w:r w:rsidR="00693592">
        <w:t>cation</w:t>
      </w:r>
      <w:r w:rsidR="00CF29BC">
        <w:t xml:space="preserve"> </w:t>
      </w:r>
      <w:r w:rsidR="00345CA9">
        <w:t xml:space="preserve">in presentation of instructions and information </w:t>
      </w:r>
      <w:r w:rsidR="00CF29BC">
        <w:t xml:space="preserve">to insure that the module is presented in a “user friendly” </w:t>
      </w:r>
      <w:r w:rsidR="00345CA9">
        <w:t xml:space="preserve">format </w:t>
      </w:r>
      <w:r w:rsidR="00CF29BC">
        <w:t xml:space="preserve">for the students enrolled.  </w:t>
      </w:r>
    </w:p>
    <w:p w:rsidR="00DA5836" w:rsidRDefault="00DA5836" w:rsidP="00DA5836">
      <w:pPr>
        <w:pStyle w:val="ListParagraph"/>
      </w:pPr>
    </w:p>
    <w:p w:rsidR="00DA5836" w:rsidRDefault="009C5723" w:rsidP="00DA5836">
      <w:pPr>
        <w:pStyle w:val="ListParagraph"/>
        <w:numPr>
          <w:ilvl w:val="0"/>
          <w:numId w:val="1"/>
        </w:numPr>
      </w:pPr>
      <w:r>
        <w:t>List</w:t>
      </w:r>
      <w:r w:rsidR="0026011E">
        <w:t xml:space="preserve"> </w:t>
      </w:r>
      <w:r w:rsidR="00DA5836">
        <w:t>CASLO assessment findings highlights</w:t>
      </w:r>
      <w:r w:rsidR="0026011E">
        <w:t xml:space="preserve"> (attach CASLO report)</w:t>
      </w:r>
      <w:r w:rsidR="0047371C">
        <w:t xml:space="preserve"> (IV-E):</w:t>
      </w:r>
    </w:p>
    <w:p w:rsidR="00B54B7C" w:rsidRDefault="00B54B7C" w:rsidP="00B54B7C">
      <w:pPr>
        <w:pStyle w:val="ListParagraph"/>
      </w:pPr>
    </w:p>
    <w:p w:rsidR="00DA5836" w:rsidRDefault="00B54B7C" w:rsidP="00DA5836">
      <w:pPr>
        <w:pStyle w:val="ListParagraph"/>
      </w:pPr>
      <w:r>
        <w:t xml:space="preserve">I have to admit I do not have anything </w:t>
      </w:r>
      <w:r w:rsidR="00FF3019">
        <w:t xml:space="preserve">current </w:t>
      </w:r>
      <w:r>
        <w:t>to insert here</w:t>
      </w:r>
      <w:r w:rsidR="00FF3019">
        <w:t xml:space="preserve">, so I have attached </w:t>
      </w:r>
      <w:r w:rsidR="006E11BE">
        <w:t>a sample of my early CASLO compilations for Standard 2</w:t>
      </w:r>
      <w:r w:rsidR="003158A0">
        <w:t>, modified to fit the latest rubric that was presented</w:t>
      </w:r>
      <w:r>
        <w:t xml:space="preserve">.  I was working on </w:t>
      </w:r>
      <w:r w:rsidR="003158A0">
        <w:t xml:space="preserve">the program PLO and </w:t>
      </w:r>
      <w:r>
        <w:t xml:space="preserve">CASLO, </w:t>
      </w:r>
      <w:r w:rsidR="003F74AE">
        <w:t xml:space="preserve">finish grading my student’s assignments and tests, </w:t>
      </w:r>
      <w:r>
        <w:t xml:space="preserve">and </w:t>
      </w:r>
      <w:r w:rsidR="003F74AE">
        <w:t>trying to insure all the student laboratory projects were completed</w:t>
      </w:r>
      <w:r w:rsidR="003158A0">
        <w:t xml:space="preserve"> and </w:t>
      </w:r>
      <w:r>
        <w:t xml:space="preserve">I must have accidentally deleted </w:t>
      </w:r>
      <w:r w:rsidR="003158A0">
        <w:t xml:space="preserve">both </w:t>
      </w:r>
      <w:r w:rsidR="00DD0944">
        <w:t xml:space="preserve">current work </w:t>
      </w:r>
      <w:r>
        <w:t>file</w:t>
      </w:r>
      <w:r w:rsidR="003158A0">
        <w:t xml:space="preserve">s when I closed </w:t>
      </w:r>
      <w:r w:rsidR="003158A0">
        <w:lastRenderedPageBreak/>
        <w:t>down</w:t>
      </w:r>
      <w:r>
        <w:t xml:space="preserve"> computer</w:t>
      </w:r>
      <w:r w:rsidR="003158A0">
        <w:t xml:space="preserve">. </w:t>
      </w:r>
      <w:r w:rsidR="00DD0944">
        <w:t xml:space="preserve"> </w:t>
      </w:r>
      <w:r w:rsidR="003158A0">
        <w:t xml:space="preserve">I </w:t>
      </w:r>
      <w:r w:rsidR="00DD0944">
        <w:t xml:space="preserve">had </w:t>
      </w:r>
      <w:r w:rsidR="003158A0">
        <w:t>saved the work I had done to the flash drive, but when I returned to the office after helping a student in the laboratory, the monitor and everything on my desk, including</w:t>
      </w:r>
      <w:r w:rsidR="00693592">
        <w:t xml:space="preserve"> </w:t>
      </w:r>
      <w:r>
        <w:t>my flash drive was packed away by O&amp;M</w:t>
      </w:r>
      <w:r w:rsidR="00265416">
        <w:t xml:space="preserve"> whe</w:t>
      </w:r>
      <w:r w:rsidR="00D57916">
        <w:t>n</w:t>
      </w:r>
      <w:r w:rsidR="00265416">
        <w:t xml:space="preserve"> I was “evicted” from my office and laboratory.</w:t>
      </w:r>
      <w:r w:rsidR="003F74AE">
        <w:t xml:space="preserve">  </w:t>
      </w:r>
      <w:r w:rsidR="00D57916">
        <w:t>I was able to retrieve my desk top, but couldn’t find the flash drive.</w:t>
      </w:r>
    </w:p>
    <w:tbl>
      <w:tblPr>
        <w:tblW w:w="10923" w:type="dxa"/>
        <w:tblInd w:w="93" w:type="dxa"/>
        <w:tblLook w:val="04A0" w:firstRow="1" w:lastRow="0" w:firstColumn="1" w:lastColumn="0" w:noHBand="0" w:noVBand="1"/>
      </w:tblPr>
      <w:tblGrid>
        <w:gridCol w:w="1811"/>
        <w:gridCol w:w="535"/>
        <w:gridCol w:w="452"/>
        <w:gridCol w:w="475"/>
        <w:gridCol w:w="467"/>
        <w:gridCol w:w="406"/>
        <w:gridCol w:w="459"/>
        <w:gridCol w:w="452"/>
        <w:gridCol w:w="475"/>
        <w:gridCol w:w="467"/>
        <w:gridCol w:w="406"/>
        <w:gridCol w:w="459"/>
        <w:gridCol w:w="452"/>
        <w:gridCol w:w="475"/>
        <w:gridCol w:w="467"/>
        <w:gridCol w:w="406"/>
        <w:gridCol w:w="459"/>
        <w:gridCol w:w="452"/>
        <w:gridCol w:w="475"/>
        <w:gridCol w:w="467"/>
        <w:gridCol w:w="406"/>
      </w:tblGrid>
      <w:tr w:rsidR="005A6480" w:rsidRPr="005A6480" w:rsidTr="00265416">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80" w:rsidRPr="005A6480" w:rsidRDefault="005A6480" w:rsidP="005A6480">
            <w:pPr>
              <w:spacing w:after="0" w:line="240" w:lineRule="auto"/>
              <w:rPr>
                <w:rFonts w:ascii="Arial" w:eastAsia="Times New Roman" w:hAnsi="Arial" w:cs="Arial"/>
                <w:b/>
                <w:bCs/>
                <w:sz w:val="20"/>
                <w:szCs w:val="20"/>
              </w:rPr>
            </w:pPr>
            <w:r w:rsidRPr="005A6480">
              <w:rPr>
                <w:rFonts w:ascii="Arial" w:eastAsia="Times New Roman" w:hAnsi="Arial" w:cs="Arial"/>
                <w:b/>
                <w:bCs/>
                <w:sz w:val="20"/>
                <w:szCs w:val="20"/>
              </w:rPr>
              <w:t>Standard 2 - Quantitative Reasoning</w:t>
            </w:r>
          </w:p>
        </w:tc>
        <w:tc>
          <w:tcPr>
            <w:tcW w:w="590"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61"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54"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7"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391"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0"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33"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54"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7"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391"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0"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33"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54"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7"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391"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0"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33"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54"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447"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c>
          <w:tcPr>
            <w:tcW w:w="391"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rPr>
                <w:rFonts w:ascii="Arial" w:eastAsia="Times New Roman" w:hAnsi="Arial" w:cs="Arial"/>
              </w:rPr>
            </w:pPr>
          </w:p>
        </w:tc>
      </w:tr>
      <w:tr w:rsidR="005A6480" w:rsidRPr="005A6480" w:rsidTr="00265416">
        <w:trPr>
          <w:trHeight w:val="240"/>
        </w:trPr>
        <w:tc>
          <w:tcPr>
            <w:tcW w:w="2085" w:type="dxa"/>
            <w:tcBorders>
              <w:top w:val="nil"/>
              <w:left w:val="nil"/>
              <w:bottom w:val="nil"/>
              <w:right w:val="nil"/>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p>
        </w:tc>
        <w:tc>
          <w:tcPr>
            <w:tcW w:w="590" w:type="dxa"/>
            <w:tcBorders>
              <w:top w:val="single" w:sz="4" w:space="0" w:color="auto"/>
              <w:left w:val="single" w:sz="4" w:space="0" w:color="auto"/>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20</w:t>
            </w:r>
            <w:r w:rsidR="00265416">
              <w:rPr>
                <w:rFonts w:ascii="Arial" w:eastAsia="Times New Roman" w:hAnsi="Arial" w:cs="Arial"/>
                <w:b/>
                <w:bCs/>
                <w:sz w:val="16"/>
                <w:szCs w:val="16"/>
              </w:rPr>
              <w:t xml:space="preserve"> </w:t>
            </w:r>
            <w:r w:rsidRPr="005A6480">
              <w:rPr>
                <w:rFonts w:ascii="Arial" w:eastAsia="Times New Roman" w:hAnsi="Arial" w:cs="Arial"/>
                <w:b/>
                <w:bCs/>
                <w:sz w:val="16"/>
                <w:szCs w:val="16"/>
              </w:rPr>
              <w:t>E</w:t>
            </w:r>
          </w:p>
        </w:tc>
        <w:tc>
          <w:tcPr>
            <w:tcW w:w="461"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20F</w:t>
            </w:r>
          </w:p>
        </w:tc>
        <w:tc>
          <w:tcPr>
            <w:tcW w:w="454"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20G</w:t>
            </w:r>
          </w:p>
        </w:tc>
        <w:tc>
          <w:tcPr>
            <w:tcW w:w="447"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20H</w:t>
            </w:r>
          </w:p>
        </w:tc>
        <w:tc>
          <w:tcPr>
            <w:tcW w:w="391"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w:t>
            </w:r>
            <w:r>
              <w:rPr>
                <w:rFonts w:ascii="Arial" w:eastAsia="Times New Roman" w:hAnsi="Arial" w:cs="Arial"/>
                <w:b/>
                <w:bCs/>
                <w:sz w:val="16"/>
                <w:szCs w:val="16"/>
              </w:rPr>
              <w:t>0</w:t>
            </w:r>
            <w:r w:rsidRPr="005A6480">
              <w:rPr>
                <w:rFonts w:ascii="Arial" w:eastAsia="Times New Roman" w:hAnsi="Arial" w:cs="Arial"/>
                <w:b/>
                <w:bCs/>
                <w:sz w:val="16"/>
                <w:szCs w:val="16"/>
              </w:rPr>
              <w:t>I</w:t>
            </w:r>
          </w:p>
        </w:tc>
        <w:tc>
          <w:tcPr>
            <w:tcW w:w="440"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22E</w:t>
            </w:r>
          </w:p>
        </w:tc>
        <w:tc>
          <w:tcPr>
            <w:tcW w:w="433"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22F</w:t>
            </w:r>
          </w:p>
        </w:tc>
        <w:tc>
          <w:tcPr>
            <w:tcW w:w="454"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22G</w:t>
            </w:r>
          </w:p>
        </w:tc>
        <w:tc>
          <w:tcPr>
            <w:tcW w:w="447"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22H</w:t>
            </w:r>
          </w:p>
        </w:tc>
        <w:tc>
          <w:tcPr>
            <w:tcW w:w="391"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22I</w:t>
            </w:r>
          </w:p>
        </w:tc>
        <w:tc>
          <w:tcPr>
            <w:tcW w:w="440"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40E</w:t>
            </w:r>
          </w:p>
        </w:tc>
        <w:tc>
          <w:tcPr>
            <w:tcW w:w="433"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40F</w:t>
            </w:r>
          </w:p>
        </w:tc>
        <w:tc>
          <w:tcPr>
            <w:tcW w:w="454"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40G</w:t>
            </w:r>
          </w:p>
        </w:tc>
        <w:tc>
          <w:tcPr>
            <w:tcW w:w="447"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40H</w:t>
            </w:r>
          </w:p>
        </w:tc>
        <w:tc>
          <w:tcPr>
            <w:tcW w:w="391"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40I</w:t>
            </w:r>
          </w:p>
        </w:tc>
        <w:tc>
          <w:tcPr>
            <w:tcW w:w="440"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41E</w:t>
            </w:r>
          </w:p>
        </w:tc>
        <w:tc>
          <w:tcPr>
            <w:tcW w:w="433"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41F</w:t>
            </w:r>
          </w:p>
        </w:tc>
        <w:tc>
          <w:tcPr>
            <w:tcW w:w="454"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41G</w:t>
            </w:r>
          </w:p>
        </w:tc>
        <w:tc>
          <w:tcPr>
            <w:tcW w:w="447"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41H</w:t>
            </w:r>
          </w:p>
        </w:tc>
        <w:tc>
          <w:tcPr>
            <w:tcW w:w="391" w:type="dxa"/>
            <w:tcBorders>
              <w:top w:val="single" w:sz="4" w:space="0" w:color="auto"/>
              <w:left w:val="nil"/>
              <w:bottom w:val="nil"/>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b/>
                <w:bCs/>
                <w:sz w:val="16"/>
                <w:szCs w:val="16"/>
              </w:rPr>
            </w:pPr>
            <w:r w:rsidRPr="005A6480">
              <w:rPr>
                <w:rFonts w:ascii="Arial" w:eastAsia="Times New Roman" w:hAnsi="Arial" w:cs="Arial"/>
                <w:b/>
                <w:bCs/>
                <w:sz w:val="16"/>
                <w:szCs w:val="16"/>
              </w:rPr>
              <w:t>41I</w:t>
            </w:r>
          </w:p>
        </w:tc>
      </w:tr>
      <w:tr w:rsidR="005A6480" w:rsidRPr="005A6480" w:rsidTr="00265416">
        <w:trPr>
          <w:trHeight w:val="440"/>
        </w:trPr>
        <w:tc>
          <w:tcPr>
            <w:tcW w:w="2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80" w:rsidRPr="005A6480" w:rsidRDefault="005A6480" w:rsidP="00D10C7D">
            <w:pPr>
              <w:spacing w:after="0" w:line="240" w:lineRule="auto"/>
              <w:rPr>
                <w:rFonts w:ascii="Arial" w:eastAsia="Times New Roman" w:hAnsi="Arial" w:cs="Arial"/>
                <w:b/>
                <w:bCs/>
                <w:sz w:val="16"/>
                <w:szCs w:val="16"/>
              </w:rPr>
            </w:pPr>
            <w:r w:rsidRPr="005A6480">
              <w:rPr>
                <w:rFonts w:ascii="Arial" w:eastAsia="Times New Roman" w:hAnsi="Arial" w:cs="Arial"/>
                <w:b/>
                <w:bCs/>
                <w:sz w:val="16"/>
                <w:szCs w:val="16"/>
              </w:rPr>
              <w:t>Outcome 2.1</w:t>
            </w:r>
            <w:r w:rsidRPr="005A6480">
              <w:rPr>
                <w:rFonts w:ascii="Arial" w:eastAsia="Times New Roman" w:hAnsi="Arial" w:cs="Arial"/>
                <w:sz w:val="16"/>
                <w:szCs w:val="16"/>
              </w:rPr>
              <w:t xml:space="preserve"> </w:t>
            </w:r>
            <w:r w:rsidR="00D10C7D">
              <w:rPr>
                <w:rFonts w:ascii="Arial" w:eastAsia="Times New Roman" w:hAnsi="Arial" w:cs="Arial"/>
                <w:sz w:val="16"/>
                <w:szCs w:val="16"/>
              </w:rPr>
              <w:t>Calculate accurately and effectively</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r>
      <w:tr w:rsidR="005A6480" w:rsidRPr="005A6480" w:rsidTr="00265416">
        <w:trPr>
          <w:trHeight w:val="72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5A6480" w:rsidRPr="005A6480" w:rsidRDefault="005A6480" w:rsidP="00D10C7D">
            <w:pPr>
              <w:spacing w:after="0" w:line="240" w:lineRule="auto"/>
              <w:rPr>
                <w:rFonts w:ascii="Arial" w:eastAsia="Times New Roman" w:hAnsi="Arial" w:cs="Arial"/>
                <w:b/>
                <w:bCs/>
                <w:sz w:val="16"/>
                <w:szCs w:val="16"/>
              </w:rPr>
            </w:pPr>
            <w:r w:rsidRPr="005A6480">
              <w:rPr>
                <w:rFonts w:ascii="Arial" w:eastAsia="Times New Roman" w:hAnsi="Arial" w:cs="Arial"/>
                <w:b/>
                <w:bCs/>
                <w:sz w:val="16"/>
                <w:szCs w:val="16"/>
              </w:rPr>
              <w:t>Outcome 2.2</w:t>
            </w:r>
            <w:r w:rsidRPr="005A6480">
              <w:rPr>
                <w:rFonts w:ascii="Arial" w:eastAsia="Times New Roman" w:hAnsi="Arial" w:cs="Arial"/>
                <w:sz w:val="16"/>
                <w:szCs w:val="16"/>
              </w:rPr>
              <w:t xml:space="preserve"> </w:t>
            </w:r>
            <w:r w:rsidR="00D10C7D">
              <w:rPr>
                <w:rFonts w:ascii="Arial" w:eastAsia="Times New Roman" w:hAnsi="Arial" w:cs="Arial"/>
                <w:sz w:val="16"/>
                <w:szCs w:val="16"/>
              </w:rPr>
              <w:t>–</w:t>
            </w:r>
            <w:r w:rsidRPr="005A6480">
              <w:rPr>
                <w:rFonts w:ascii="Arial" w:eastAsia="Times New Roman" w:hAnsi="Arial" w:cs="Arial"/>
                <w:sz w:val="16"/>
                <w:szCs w:val="16"/>
              </w:rPr>
              <w:t xml:space="preserve"> </w:t>
            </w:r>
            <w:r w:rsidR="00D10C7D">
              <w:rPr>
                <w:rFonts w:ascii="Arial" w:eastAsia="Times New Roman" w:hAnsi="Arial" w:cs="Arial"/>
                <w:sz w:val="16"/>
                <w:szCs w:val="16"/>
              </w:rPr>
              <w:t>Represent mathematical information in equations, graphs, diagrams, tables and/or words</w:t>
            </w:r>
          </w:p>
        </w:tc>
        <w:tc>
          <w:tcPr>
            <w:tcW w:w="59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6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r>
      <w:tr w:rsidR="005A6480" w:rsidRPr="005A6480" w:rsidTr="00265416">
        <w:trPr>
          <w:trHeight w:val="55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5A6480" w:rsidRPr="005A6480" w:rsidRDefault="005A6480" w:rsidP="00D10C7D">
            <w:pPr>
              <w:spacing w:after="0" w:line="240" w:lineRule="auto"/>
              <w:rPr>
                <w:rFonts w:ascii="Arial" w:eastAsia="Times New Roman" w:hAnsi="Arial" w:cs="Arial"/>
                <w:b/>
                <w:bCs/>
                <w:sz w:val="16"/>
                <w:szCs w:val="16"/>
              </w:rPr>
            </w:pPr>
            <w:r w:rsidRPr="005A6480">
              <w:rPr>
                <w:rFonts w:ascii="Arial" w:eastAsia="Times New Roman" w:hAnsi="Arial" w:cs="Arial"/>
                <w:b/>
                <w:bCs/>
                <w:sz w:val="16"/>
                <w:szCs w:val="16"/>
              </w:rPr>
              <w:t>Outcome 2.3</w:t>
            </w:r>
            <w:r w:rsidRPr="005A6480">
              <w:rPr>
                <w:rFonts w:ascii="Arial" w:eastAsia="Times New Roman" w:hAnsi="Arial" w:cs="Arial"/>
                <w:sz w:val="16"/>
                <w:szCs w:val="16"/>
              </w:rPr>
              <w:t xml:space="preserve"> </w:t>
            </w:r>
            <w:r w:rsidR="00D10C7D">
              <w:rPr>
                <w:rFonts w:ascii="Arial" w:eastAsia="Times New Roman" w:hAnsi="Arial" w:cs="Arial"/>
                <w:sz w:val="16"/>
                <w:szCs w:val="16"/>
              </w:rPr>
              <w:t>–</w:t>
            </w:r>
            <w:r w:rsidRPr="005A6480">
              <w:rPr>
                <w:rFonts w:ascii="Arial" w:eastAsia="Times New Roman" w:hAnsi="Arial" w:cs="Arial"/>
                <w:sz w:val="16"/>
                <w:szCs w:val="16"/>
              </w:rPr>
              <w:t xml:space="preserve"> </w:t>
            </w:r>
            <w:r w:rsidR="00D10C7D">
              <w:rPr>
                <w:rFonts w:ascii="Arial" w:eastAsia="Times New Roman" w:hAnsi="Arial" w:cs="Arial"/>
                <w:sz w:val="16"/>
                <w:szCs w:val="16"/>
              </w:rPr>
              <w:t>Interpret mathematical information presented in equations, graphs, diagrams, tables, and/or words</w:t>
            </w:r>
          </w:p>
        </w:tc>
        <w:tc>
          <w:tcPr>
            <w:tcW w:w="59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6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r>
      <w:tr w:rsidR="005A6480" w:rsidRPr="005A6480" w:rsidTr="00265416">
        <w:trPr>
          <w:trHeight w:val="51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5A6480" w:rsidRPr="005A6480" w:rsidRDefault="005A6480" w:rsidP="00D10C7D">
            <w:pPr>
              <w:spacing w:after="0" w:line="240" w:lineRule="auto"/>
              <w:rPr>
                <w:rFonts w:ascii="Arial" w:eastAsia="Times New Roman" w:hAnsi="Arial" w:cs="Arial"/>
                <w:b/>
                <w:bCs/>
                <w:sz w:val="16"/>
                <w:szCs w:val="16"/>
              </w:rPr>
            </w:pPr>
            <w:r w:rsidRPr="005A6480">
              <w:rPr>
                <w:rFonts w:ascii="Arial" w:eastAsia="Times New Roman" w:hAnsi="Arial" w:cs="Arial"/>
                <w:b/>
                <w:bCs/>
                <w:sz w:val="16"/>
                <w:szCs w:val="16"/>
              </w:rPr>
              <w:t>Outcome 2.4</w:t>
            </w:r>
            <w:r w:rsidRPr="005A6480">
              <w:rPr>
                <w:rFonts w:ascii="Arial" w:eastAsia="Times New Roman" w:hAnsi="Arial" w:cs="Arial"/>
                <w:sz w:val="16"/>
                <w:szCs w:val="16"/>
              </w:rPr>
              <w:t xml:space="preserve"> </w:t>
            </w:r>
            <w:r w:rsidR="00D10C7D">
              <w:rPr>
                <w:rFonts w:ascii="Arial" w:eastAsia="Times New Roman" w:hAnsi="Arial" w:cs="Arial"/>
                <w:sz w:val="16"/>
                <w:szCs w:val="16"/>
              </w:rPr>
              <w:t>–</w:t>
            </w:r>
            <w:r w:rsidRPr="005A6480">
              <w:rPr>
                <w:rFonts w:ascii="Arial" w:eastAsia="Times New Roman" w:hAnsi="Arial" w:cs="Arial"/>
                <w:sz w:val="16"/>
                <w:szCs w:val="16"/>
              </w:rPr>
              <w:t xml:space="preserve"> </w:t>
            </w:r>
            <w:r w:rsidR="00D10C7D">
              <w:rPr>
                <w:rFonts w:ascii="Arial" w:eastAsia="Times New Roman" w:hAnsi="Arial" w:cs="Arial"/>
                <w:sz w:val="16"/>
                <w:szCs w:val="16"/>
              </w:rPr>
              <w:t>Analyze quantitative data to draw reasoned conclusions</w:t>
            </w:r>
          </w:p>
        </w:tc>
        <w:tc>
          <w:tcPr>
            <w:tcW w:w="590"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461"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B6062C" w:rsidP="005A6480">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r>
      <w:tr w:rsidR="005A6480" w:rsidRPr="005A6480" w:rsidTr="00265416">
        <w:trPr>
          <w:trHeight w:val="548"/>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5A6480" w:rsidRPr="005A6480" w:rsidRDefault="005A6480" w:rsidP="00D10C7D">
            <w:pPr>
              <w:spacing w:after="0" w:line="240" w:lineRule="auto"/>
              <w:rPr>
                <w:rFonts w:ascii="Arial" w:eastAsia="Times New Roman" w:hAnsi="Arial" w:cs="Arial"/>
                <w:b/>
                <w:bCs/>
                <w:sz w:val="16"/>
                <w:szCs w:val="16"/>
              </w:rPr>
            </w:pPr>
            <w:r w:rsidRPr="005A6480">
              <w:rPr>
                <w:rFonts w:ascii="Arial" w:eastAsia="Times New Roman" w:hAnsi="Arial" w:cs="Arial"/>
                <w:b/>
                <w:bCs/>
                <w:sz w:val="16"/>
                <w:szCs w:val="16"/>
              </w:rPr>
              <w:t>Outcome 2.5</w:t>
            </w:r>
            <w:r w:rsidRPr="005A6480">
              <w:rPr>
                <w:rFonts w:ascii="Arial" w:eastAsia="Times New Roman" w:hAnsi="Arial" w:cs="Arial"/>
                <w:sz w:val="16"/>
                <w:szCs w:val="16"/>
              </w:rPr>
              <w:t xml:space="preserve"> </w:t>
            </w:r>
            <w:r w:rsidR="00D10C7D">
              <w:rPr>
                <w:rFonts w:ascii="Arial" w:eastAsia="Times New Roman" w:hAnsi="Arial" w:cs="Arial"/>
                <w:sz w:val="16"/>
                <w:szCs w:val="16"/>
              </w:rPr>
              <w:t>–</w:t>
            </w:r>
            <w:r w:rsidRPr="005A6480">
              <w:rPr>
                <w:rFonts w:ascii="Arial" w:eastAsia="Times New Roman" w:hAnsi="Arial" w:cs="Arial"/>
                <w:sz w:val="16"/>
                <w:szCs w:val="16"/>
              </w:rPr>
              <w:t xml:space="preserve"> </w:t>
            </w:r>
            <w:r w:rsidR="00D10C7D">
              <w:rPr>
                <w:rFonts w:ascii="Arial" w:eastAsia="Times New Roman" w:hAnsi="Arial" w:cs="Arial"/>
                <w:sz w:val="16"/>
                <w:szCs w:val="16"/>
              </w:rPr>
              <w:t>Support an argument or methodology with quantitative evidence</w:t>
            </w:r>
          </w:p>
        </w:tc>
        <w:tc>
          <w:tcPr>
            <w:tcW w:w="59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6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1</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40"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33"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454"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2</w:t>
            </w:r>
          </w:p>
        </w:tc>
        <w:tc>
          <w:tcPr>
            <w:tcW w:w="447"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c>
          <w:tcPr>
            <w:tcW w:w="391" w:type="dxa"/>
            <w:tcBorders>
              <w:top w:val="nil"/>
              <w:left w:val="nil"/>
              <w:bottom w:val="single" w:sz="4" w:space="0" w:color="auto"/>
              <w:right w:val="single" w:sz="4" w:space="0" w:color="auto"/>
            </w:tcBorders>
            <w:shd w:val="clear" w:color="auto" w:fill="auto"/>
            <w:noWrap/>
            <w:vAlign w:val="bottom"/>
            <w:hideMark/>
          </w:tcPr>
          <w:p w:rsidR="005A6480" w:rsidRPr="005A6480" w:rsidRDefault="005A6480" w:rsidP="005A6480">
            <w:pPr>
              <w:spacing w:after="0" w:line="240" w:lineRule="auto"/>
              <w:jc w:val="center"/>
              <w:rPr>
                <w:rFonts w:ascii="Arial" w:eastAsia="Times New Roman" w:hAnsi="Arial" w:cs="Arial"/>
                <w:sz w:val="16"/>
                <w:szCs w:val="16"/>
              </w:rPr>
            </w:pPr>
            <w:r w:rsidRPr="005A6480">
              <w:rPr>
                <w:rFonts w:ascii="Arial" w:eastAsia="Times New Roman" w:hAnsi="Arial" w:cs="Arial"/>
                <w:sz w:val="16"/>
                <w:szCs w:val="16"/>
              </w:rPr>
              <w:t>3</w:t>
            </w:r>
          </w:p>
        </w:tc>
      </w:tr>
      <w:tr w:rsidR="005A6480" w:rsidRPr="005A6480" w:rsidTr="00265416">
        <w:trPr>
          <w:trHeight w:val="70"/>
        </w:trPr>
        <w:tc>
          <w:tcPr>
            <w:tcW w:w="2085" w:type="dxa"/>
            <w:tcBorders>
              <w:top w:val="nil"/>
              <w:left w:val="single" w:sz="4" w:space="0" w:color="auto"/>
              <w:bottom w:val="single" w:sz="4" w:space="0" w:color="auto"/>
              <w:right w:val="single" w:sz="4" w:space="0" w:color="auto"/>
            </w:tcBorders>
            <w:shd w:val="clear" w:color="auto" w:fill="auto"/>
            <w:vAlign w:val="bottom"/>
          </w:tcPr>
          <w:p w:rsidR="005A6480" w:rsidRPr="005A6480" w:rsidRDefault="005A6480" w:rsidP="005A6480">
            <w:pPr>
              <w:spacing w:after="0" w:line="240" w:lineRule="auto"/>
              <w:rPr>
                <w:rFonts w:ascii="Arial" w:eastAsia="Times New Roman"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61"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54"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0"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54"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0"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54"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0"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54"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5A6480" w:rsidRPr="005A6480" w:rsidRDefault="005A6480" w:rsidP="005A6480">
            <w:pPr>
              <w:spacing w:after="0" w:line="240" w:lineRule="auto"/>
              <w:jc w:val="center"/>
              <w:rPr>
                <w:rFonts w:ascii="Arial" w:eastAsia="Times New Roman" w:hAnsi="Arial" w:cs="Arial"/>
                <w:sz w:val="16"/>
                <w:szCs w:val="16"/>
              </w:rPr>
            </w:pPr>
          </w:p>
        </w:tc>
      </w:tr>
    </w:tbl>
    <w:p w:rsidR="00A06A30" w:rsidRDefault="00A06A30" w:rsidP="00DA5836">
      <w:pPr>
        <w:pStyle w:val="ListParagraph"/>
      </w:pPr>
    </w:p>
    <w:p w:rsidR="003F74AE" w:rsidRDefault="003F74AE" w:rsidP="00DA5836">
      <w:pPr>
        <w:pStyle w:val="ListParagraph"/>
      </w:pPr>
    </w:p>
    <w:p w:rsidR="00E877C5" w:rsidRDefault="0047371C" w:rsidP="00E877C5">
      <w:pPr>
        <w:pStyle w:val="ListParagraph"/>
        <w:numPr>
          <w:ilvl w:val="0"/>
          <w:numId w:val="1"/>
        </w:numPr>
      </w:pPr>
      <w:r>
        <w:t>Action Plan (III) and Next Steps (IV-G):</w:t>
      </w:r>
    </w:p>
    <w:p w:rsidR="00DA5836" w:rsidRDefault="00DA5836" w:rsidP="00DA5836">
      <w:pPr>
        <w:pStyle w:val="ListParagraph"/>
        <w:numPr>
          <w:ilvl w:val="1"/>
          <w:numId w:val="1"/>
        </w:numPr>
      </w:pPr>
      <w:r>
        <w:t>PLO</w:t>
      </w:r>
    </w:p>
    <w:p w:rsidR="00FC1688" w:rsidRDefault="00FC1688" w:rsidP="005A6480">
      <w:pPr>
        <w:pStyle w:val="ListParagraph"/>
        <w:ind w:left="1440"/>
        <w:rPr>
          <w:rFonts w:ascii="Times New Roman" w:hAnsi="Times New Roman" w:cs="Times New Roman"/>
        </w:rPr>
      </w:pPr>
    </w:p>
    <w:p w:rsidR="005A6480" w:rsidRPr="00FC1688" w:rsidRDefault="00FC1688" w:rsidP="005A6480">
      <w:pPr>
        <w:pStyle w:val="ListParagraph"/>
        <w:ind w:left="1440"/>
      </w:pPr>
      <w:r w:rsidRPr="00FC1688">
        <w:rPr>
          <w:rFonts w:cs="Times New Roman"/>
        </w:rPr>
        <w:t>Continue improving the ABRP Program PLO standards, which in turn improves the modules.  Also, to include IICAR curriculum materials, classroom props and training aids.   Especially for the 20E and 22E modules, which are the most critical as either of these two modules are the first classes new students enroll in.</w:t>
      </w:r>
    </w:p>
    <w:p w:rsidR="005A6480" w:rsidRDefault="005A6480" w:rsidP="005A6480">
      <w:pPr>
        <w:pStyle w:val="ListParagraph"/>
        <w:ind w:left="1440"/>
      </w:pPr>
    </w:p>
    <w:p w:rsidR="00DA5836" w:rsidRDefault="00DA5836" w:rsidP="00DA5836">
      <w:pPr>
        <w:pStyle w:val="ListParagraph"/>
        <w:numPr>
          <w:ilvl w:val="1"/>
          <w:numId w:val="1"/>
        </w:numPr>
      </w:pPr>
      <w:r>
        <w:t>CASLO</w:t>
      </w:r>
    </w:p>
    <w:p w:rsidR="00FC1688" w:rsidRDefault="00FC1688" w:rsidP="00FC1688">
      <w:pPr>
        <w:pStyle w:val="ListParagraph"/>
        <w:ind w:left="1440"/>
      </w:pPr>
    </w:p>
    <w:p w:rsidR="005A6480" w:rsidRDefault="00FC1688" w:rsidP="00FC1688">
      <w:pPr>
        <w:pStyle w:val="ListParagraph"/>
        <w:ind w:left="1440"/>
      </w:pPr>
      <w:r>
        <w:t>Along with the above comments, insure the modules address CASLO concerns during the revision and evolution of the ABRP Program modules.</w:t>
      </w:r>
    </w:p>
    <w:p w:rsidR="005A6480" w:rsidRDefault="005A6480" w:rsidP="005A6480">
      <w:pPr>
        <w:pStyle w:val="ListParagraph"/>
        <w:ind w:left="1440"/>
      </w:pPr>
    </w:p>
    <w:p w:rsidR="00DA5836" w:rsidRDefault="00DA5836" w:rsidP="00DA5836">
      <w:pPr>
        <w:pStyle w:val="ListParagraph"/>
        <w:numPr>
          <w:ilvl w:val="1"/>
          <w:numId w:val="1"/>
        </w:numPr>
      </w:pPr>
      <w:r>
        <w:t>Program improvement</w:t>
      </w:r>
    </w:p>
    <w:p w:rsidR="00FC1688" w:rsidRDefault="00FC1688" w:rsidP="00FC1688">
      <w:pPr>
        <w:widowControl w:val="0"/>
        <w:autoSpaceDE w:val="0"/>
        <w:autoSpaceDN w:val="0"/>
        <w:adjustRightInd w:val="0"/>
        <w:spacing w:after="0" w:line="240" w:lineRule="auto"/>
        <w:ind w:left="1440"/>
        <w:rPr>
          <w:rFonts w:eastAsia="Times New Roman" w:cs="Times New Roman"/>
        </w:rPr>
      </w:pPr>
      <w:r w:rsidRPr="00FC1688">
        <w:rPr>
          <w:rFonts w:eastAsia="Times New Roman" w:cs="Times New Roman"/>
        </w:rPr>
        <w:t xml:space="preserve">Continue to explore obtain funding for an additional faculty member or a full-time lecturer.  As stated in previous documents, one instructor to provide instruction and supervision in the laboratory, while the another instructor is in the classroom working with students, or one instructor for the first year students and one for the second year students.  Either option is workable to enhance student retention and improve completion/graduation rates. </w:t>
      </w:r>
      <w:r>
        <w:rPr>
          <w:rFonts w:eastAsia="Times New Roman" w:cs="Times New Roman"/>
        </w:rPr>
        <w:t xml:space="preserve">  Especially if the enrollments continue as they have been for the past several years.</w:t>
      </w:r>
    </w:p>
    <w:p w:rsidR="00FC1688" w:rsidRPr="00FC1688" w:rsidRDefault="00FC1688" w:rsidP="00FC1688">
      <w:pPr>
        <w:spacing w:after="0" w:line="240" w:lineRule="auto"/>
        <w:ind w:left="1440"/>
        <w:rPr>
          <w:rFonts w:eastAsia="Times New Roman" w:cs="Times New Roman"/>
        </w:rPr>
      </w:pPr>
      <w:r>
        <w:rPr>
          <w:rFonts w:eastAsia="Times New Roman" w:cs="Times New Roman"/>
        </w:rPr>
        <w:lastRenderedPageBreak/>
        <w:t>Also, a</w:t>
      </w:r>
      <w:r w:rsidRPr="00FC1688">
        <w:rPr>
          <w:rFonts w:eastAsia="Times New Roman" w:cs="Times New Roman"/>
        </w:rPr>
        <w:t xml:space="preserve">s noted in previous program reviews, there is anticipation in the refinishing trade here in the State of Hawaii of new EPA mandates for automotive refinishing.  </w:t>
      </w:r>
      <w:r>
        <w:rPr>
          <w:rFonts w:eastAsia="Times New Roman" w:cs="Times New Roman"/>
        </w:rPr>
        <w:t xml:space="preserve">Because of </w:t>
      </w:r>
      <w:r w:rsidRPr="00FC1688">
        <w:rPr>
          <w:rFonts w:eastAsia="Times New Roman" w:cs="Times New Roman"/>
        </w:rPr>
        <w:t xml:space="preserve">anticipation of enforcement of these new Volatile Organic Compound (VOC) limits, the refinishing industry is moving to water based refinishing products.  For the ABRP Program, this requires the refinishing equipment employed in the application of refinishing materials to be upgraded and replaced within the next three  or four years.  </w:t>
      </w:r>
    </w:p>
    <w:p w:rsidR="006E11BE" w:rsidRDefault="006E11BE" w:rsidP="0033723B">
      <w:pPr>
        <w:spacing w:after="0" w:line="240" w:lineRule="auto"/>
        <w:ind w:left="1440"/>
        <w:rPr>
          <w:rFonts w:eastAsia="Times New Roman" w:cs="Times New Roman"/>
        </w:rPr>
      </w:pPr>
    </w:p>
    <w:p w:rsidR="0033723B" w:rsidRPr="0033723B" w:rsidRDefault="0033723B" w:rsidP="0033723B">
      <w:pPr>
        <w:spacing w:after="0" w:line="240" w:lineRule="auto"/>
        <w:ind w:left="1440"/>
        <w:rPr>
          <w:rFonts w:eastAsia="Times New Roman" w:cs="Times New Roman"/>
        </w:rPr>
      </w:pPr>
      <w:r w:rsidRPr="0033723B">
        <w:rPr>
          <w:rFonts w:eastAsia="Times New Roman" w:cs="Times New Roman"/>
        </w:rPr>
        <w:t>Another idea for program enhancement that has been t</w:t>
      </w:r>
      <w:r w:rsidR="00265416">
        <w:rPr>
          <w:rFonts w:eastAsia="Times New Roman" w:cs="Times New Roman"/>
        </w:rPr>
        <w:t>alk</w:t>
      </w:r>
      <w:r w:rsidRPr="0033723B">
        <w:rPr>
          <w:rFonts w:eastAsia="Times New Roman" w:cs="Times New Roman"/>
        </w:rPr>
        <w:t>ed about with members of the ABRP Advisory Committee members</w:t>
      </w:r>
      <w:r w:rsidR="00265416">
        <w:rPr>
          <w:rFonts w:eastAsia="Times New Roman" w:cs="Times New Roman"/>
        </w:rPr>
        <w:t xml:space="preserve"> </w:t>
      </w:r>
      <w:r w:rsidRPr="0033723B">
        <w:rPr>
          <w:rFonts w:eastAsia="Times New Roman" w:cs="Times New Roman"/>
        </w:rPr>
        <w:t xml:space="preserve">is to incorporate more computer skills related assignments.  Employing IICAR computer instruction for auto body repair and refinishing.  Another major project for the ABRP Program is having the capabilities to allow students to be able to take their test and quizzes on line, using campus resources </w:t>
      </w:r>
      <w:r w:rsidR="00265416">
        <w:rPr>
          <w:rFonts w:eastAsia="Times New Roman" w:cs="Times New Roman"/>
        </w:rPr>
        <w:t>available with</w:t>
      </w:r>
      <w:r w:rsidRPr="0033723B">
        <w:rPr>
          <w:rFonts w:eastAsia="Times New Roman" w:cs="Times New Roman"/>
        </w:rPr>
        <w:t xml:space="preserve"> </w:t>
      </w:r>
      <w:proofErr w:type="spellStart"/>
      <w:r w:rsidRPr="0033723B">
        <w:rPr>
          <w:rFonts w:eastAsia="Times New Roman" w:cs="Times New Roman"/>
        </w:rPr>
        <w:t>Laulima</w:t>
      </w:r>
      <w:proofErr w:type="spellEnd"/>
      <w:r w:rsidRPr="0033723B">
        <w:rPr>
          <w:rFonts w:eastAsia="Times New Roman" w:cs="Times New Roman"/>
        </w:rPr>
        <w:t>.</w:t>
      </w:r>
    </w:p>
    <w:p w:rsidR="00DA5836" w:rsidRDefault="00DA5836" w:rsidP="00DA5836">
      <w:pPr>
        <w:pStyle w:val="ListParagraph"/>
        <w:ind w:left="1440"/>
      </w:pPr>
    </w:p>
    <w:p w:rsidR="00DA5836" w:rsidRDefault="00DA5836" w:rsidP="00DA5836">
      <w:pPr>
        <w:pStyle w:val="ListParagraph"/>
        <w:numPr>
          <w:ilvl w:val="0"/>
          <w:numId w:val="1"/>
        </w:numPr>
      </w:pPr>
      <w:r>
        <w:t>Chart of resource needs</w:t>
      </w:r>
      <w:r w:rsidR="0047371C">
        <w:t xml:space="preserve"> (IV)</w:t>
      </w:r>
    </w:p>
    <w:p w:rsidR="00DA5836" w:rsidRDefault="00DA5836" w:rsidP="00DA5836">
      <w:pPr>
        <w:pStyle w:val="ListParagraph"/>
      </w:pPr>
    </w:p>
    <w:tbl>
      <w:tblPr>
        <w:tblStyle w:val="TableGrid"/>
        <w:tblW w:w="0" w:type="auto"/>
        <w:tblInd w:w="720" w:type="dxa"/>
        <w:tblLook w:val="04A0" w:firstRow="1" w:lastRow="0" w:firstColumn="1" w:lastColumn="0" w:noHBand="0" w:noVBand="1"/>
      </w:tblPr>
      <w:tblGrid>
        <w:gridCol w:w="2221"/>
        <w:gridCol w:w="2226"/>
        <w:gridCol w:w="3941"/>
      </w:tblGrid>
      <w:tr w:rsidR="00DA5836" w:rsidTr="00DA5836">
        <w:tc>
          <w:tcPr>
            <w:tcW w:w="2221" w:type="dxa"/>
          </w:tcPr>
          <w:p w:rsidR="00DA5836" w:rsidRDefault="00DA5836" w:rsidP="00DA5836">
            <w:pPr>
              <w:pStyle w:val="ListParagraph"/>
              <w:ind w:left="0"/>
            </w:pPr>
            <w:r>
              <w:t>Budget request</w:t>
            </w:r>
          </w:p>
        </w:tc>
        <w:tc>
          <w:tcPr>
            <w:tcW w:w="2226" w:type="dxa"/>
          </w:tcPr>
          <w:p w:rsidR="00DA5836" w:rsidRDefault="00DA5836" w:rsidP="00DA5836">
            <w:pPr>
              <w:pStyle w:val="ListParagraph"/>
              <w:ind w:left="0"/>
            </w:pPr>
            <w:r>
              <w:t>Amount</w:t>
            </w:r>
          </w:p>
        </w:tc>
        <w:tc>
          <w:tcPr>
            <w:tcW w:w="3941" w:type="dxa"/>
          </w:tcPr>
          <w:p w:rsidR="00DA5836" w:rsidRDefault="00DA5836" w:rsidP="0047371C">
            <w:pPr>
              <w:pStyle w:val="ListParagraph"/>
              <w:ind w:left="0"/>
            </w:pPr>
            <w:r>
              <w:t xml:space="preserve">Justification </w:t>
            </w:r>
            <w:r w:rsidR="0047371C">
              <w:t>for</w:t>
            </w:r>
            <w:r>
              <w:t xml:space="preserve"> how this </w:t>
            </w:r>
            <w:r w:rsidR="0047371C">
              <w:t xml:space="preserve">will </w:t>
            </w:r>
            <w:r>
              <w:t>improves learning</w:t>
            </w:r>
          </w:p>
        </w:tc>
      </w:tr>
      <w:tr w:rsidR="00DA5836" w:rsidTr="00DA5836">
        <w:tc>
          <w:tcPr>
            <w:tcW w:w="2221" w:type="dxa"/>
          </w:tcPr>
          <w:p w:rsidR="00DA5836" w:rsidRDefault="00054C0B" w:rsidP="00DA5836">
            <w:pPr>
              <w:pStyle w:val="ListParagraph"/>
              <w:ind w:left="0"/>
            </w:pPr>
            <w:r>
              <w:t>Second Instructor</w:t>
            </w:r>
          </w:p>
        </w:tc>
        <w:tc>
          <w:tcPr>
            <w:tcW w:w="2226" w:type="dxa"/>
          </w:tcPr>
          <w:p w:rsidR="00DA5836" w:rsidRDefault="00054C0B" w:rsidP="00DA5836">
            <w:pPr>
              <w:pStyle w:val="ListParagraph"/>
              <w:ind w:left="0"/>
            </w:pPr>
            <w:r>
              <w:t>$50,000 to $70,000</w:t>
            </w:r>
          </w:p>
        </w:tc>
        <w:tc>
          <w:tcPr>
            <w:tcW w:w="3941" w:type="dxa"/>
          </w:tcPr>
          <w:p w:rsidR="00DA5836" w:rsidRDefault="00054C0B" w:rsidP="00DA5836">
            <w:pPr>
              <w:pStyle w:val="ListParagraph"/>
              <w:ind w:left="0"/>
            </w:pPr>
            <w:r>
              <w:t>Better student/instructor ratio</w:t>
            </w:r>
          </w:p>
        </w:tc>
      </w:tr>
      <w:tr w:rsidR="00DA5836" w:rsidTr="00DA5836">
        <w:tc>
          <w:tcPr>
            <w:tcW w:w="2221" w:type="dxa"/>
          </w:tcPr>
          <w:p w:rsidR="00DA5836" w:rsidRDefault="00054C0B" w:rsidP="00DA5836">
            <w:pPr>
              <w:pStyle w:val="ListParagraph"/>
              <w:ind w:left="0"/>
            </w:pPr>
            <w:r>
              <w:t>Upgrade refinishing equipment</w:t>
            </w:r>
          </w:p>
        </w:tc>
        <w:tc>
          <w:tcPr>
            <w:tcW w:w="2226" w:type="dxa"/>
          </w:tcPr>
          <w:p w:rsidR="00DA5836" w:rsidRDefault="00054C0B" w:rsidP="00DA5836">
            <w:pPr>
              <w:pStyle w:val="ListParagraph"/>
              <w:ind w:left="0"/>
            </w:pPr>
            <w:r>
              <w:t>$6,000 to $8,000</w:t>
            </w:r>
          </w:p>
        </w:tc>
        <w:tc>
          <w:tcPr>
            <w:tcW w:w="3941" w:type="dxa"/>
          </w:tcPr>
          <w:p w:rsidR="00DA5836" w:rsidRDefault="00054C0B" w:rsidP="00DA5836">
            <w:pPr>
              <w:pStyle w:val="ListParagraph"/>
              <w:ind w:left="0"/>
            </w:pPr>
            <w:r>
              <w:t>Students will able to better apply water-borne materials.</w:t>
            </w:r>
          </w:p>
        </w:tc>
      </w:tr>
      <w:tr w:rsidR="00DA5836" w:rsidTr="00DA5836">
        <w:tc>
          <w:tcPr>
            <w:tcW w:w="2221" w:type="dxa"/>
          </w:tcPr>
          <w:p w:rsidR="00DA5836" w:rsidRDefault="00DA5836" w:rsidP="00DA5836">
            <w:pPr>
              <w:pStyle w:val="ListParagraph"/>
              <w:ind w:left="0"/>
            </w:pPr>
          </w:p>
        </w:tc>
        <w:tc>
          <w:tcPr>
            <w:tcW w:w="2226" w:type="dxa"/>
          </w:tcPr>
          <w:p w:rsidR="00DA5836" w:rsidRDefault="00DA5836" w:rsidP="00DA5836">
            <w:pPr>
              <w:pStyle w:val="ListParagraph"/>
              <w:ind w:left="0"/>
            </w:pPr>
          </w:p>
        </w:tc>
        <w:tc>
          <w:tcPr>
            <w:tcW w:w="3941" w:type="dxa"/>
          </w:tcPr>
          <w:p w:rsidR="00DA5836" w:rsidRDefault="00DA5836" w:rsidP="00DA5836">
            <w:pPr>
              <w:pStyle w:val="ListParagraph"/>
              <w:ind w:left="0"/>
            </w:pPr>
          </w:p>
        </w:tc>
      </w:tr>
    </w:tbl>
    <w:p w:rsidR="00DA5836" w:rsidRDefault="00DA5836" w:rsidP="00E877C5"/>
    <w:p w:rsidR="0083540E" w:rsidRDefault="00EB410C" w:rsidP="00EB410C">
      <w:pPr>
        <w:pStyle w:val="ListParagraph"/>
        <w:ind w:left="1080"/>
      </w:pPr>
      <w:r>
        <w:t>*   Roman numerals indicate related category for system input</w:t>
      </w:r>
    </w:p>
    <w:sectPr w:rsidR="0083540E" w:rsidSect="004737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48" w:rsidRDefault="00503B48" w:rsidP="00E877C5">
      <w:pPr>
        <w:spacing w:after="0" w:line="240" w:lineRule="auto"/>
      </w:pPr>
      <w:r>
        <w:separator/>
      </w:r>
    </w:p>
  </w:endnote>
  <w:endnote w:type="continuationSeparator" w:id="0">
    <w:p w:rsidR="00503B48" w:rsidRDefault="00503B48" w:rsidP="00E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48" w:rsidRDefault="00503B48" w:rsidP="00E877C5">
      <w:pPr>
        <w:spacing w:after="0" w:line="240" w:lineRule="auto"/>
      </w:pPr>
      <w:r>
        <w:separator/>
      </w:r>
    </w:p>
  </w:footnote>
  <w:footnote w:type="continuationSeparator" w:id="0">
    <w:p w:rsidR="00503B48" w:rsidRDefault="00503B48" w:rsidP="00E8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35C"/>
    <w:multiLevelType w:val="hybridMultilevel"/>
    <w:tmpl w:val="1D38526C"/>
    <w:lvl w:ilvl="0" w:tplc="95B48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1236E"/>
    <w:multiLevelType w:val="hybridMultilevel"/>
    <w:tmpl w:val="5DAAAC7A"/>
    <w:lvl w:ilvl="0" w:tplc="550AEC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36"/>
    <w:rsid w:val="00054C0B"/>
    <w:rsid w:val="000803E4"/>
    <w:rsid w:val="00097D69"/>
    <w:rsid w:val="000F1148"/>
    <w:rsid w:val="00114ADE"/>
    <w:rsid w:val="001F49B8"/>
    <w:rsid w:val="00242411"/>
    <w:rsid w:val="0026011E"/>
    <w:rsid w:val="00265416"/>
    <w:rsid w:val="0028537B"/>
    <w:rsid w:val="002906A2"/>
    <w:rsid w:val="002C390B"/>
    <w:rsid w:val="002E134E"/>
    <w:rsid w:val="002E162A"/>
    <w:rsid w:val="003064AD"/>
    <w:rsid w:val="003158A0"/>
    <w:rsid w:val="0033723B"/>
    <w:rsid w:val="00345CA9"/>
    <w:rsid w:val="00374306"/>
    <w:rsid w:val="003F74AE"/>
    <w:rsid w:val="0042257A"/>
    <w:rsid w:val="0044326C"/>
    <w:rsid w:val="0047371C"/>
    <w:rsid w:val="00473788"/>
    <w:rsid w:val="004C3CE0"/>
    <w:rsid w:val="004E6C81"/>
    <w:rsid w:val="004E6CF7"/>
    <w:rsid w:val="00503B48"/>
    <w:rsid w:val="00542E8C"/>
    <w:rsid w:val="00561B25"/>
    <w:rsid w:val="00582F0B"/>
    <w:rsid w:val="00596018"/>
    <w:rsid w:val="005A36E8"/>
    <w:rsid w:val="005A6480"/>
    <w:rsid w:val="005C2498"/>
    <w:rsid w:val="005D1D6F"/>
    <w:rsid w:val="0065589C"/>
    <w:rsid w:val="00693592"/>
    <w:rsid w:val="006B1FEF"/>
    <w:rsid w:val="006E11BE"/>
    <w:rsid w:val="006F79BE"/>
    <w:rsid w:val="0073211D"/>
    <w:rsid w:val="007914B0"/>
    <w:rsid w:val="00797792"/>
    <w:rsid w:val="007B22AC"/>
    <w:rsid w:val="0083540E"/>
    <w:rsid w:val="008A1578"/>
    <w:rsid w:val="008A7DDD"/>
    <w:rsid w:val="008B469E"/>
    <w:rsid w:val="0092626B"/>
    <w:rsid w:val="009533CE"/>
    <w:rsid w:val="009A60A7"/>
    <w:rsid w:val="009C5723"/>
    <w:rsid w:val="009F37B9"/>
    <w:rsid w:val="00A06A30"/>
    <w:rsid w:val="00A07E37"/>
    <w:rsid w:val="00A268DB"/>
    <w:rsid w:val="00A376A6"/>
    <w:rsid w:val="00AD7FAE"/>
    <w:rsid w:val="00AE2246"/>
    <w:rsid w:val="00AE731F"/>
    <w:rsid w:val="00B16008"/>
    <w:rsid w:val="00B54B7C"/>
    <w:rsid w:val="00B6062C"/>
    <w:rsid w:val="00B94389"/>
    <w:rsid w:val="00BD67CF"/>
    <w:rsid w:val="00C03D7E"/>
    <w:rsid w:val="00C21D5F"/>
    <w:rsid w:val="00C426A7"/>
    <w:rsid w:val="00C570CD"/>
    <w:rsid w:val="00CB18FB"/>
    <w:rsid w:val="00CE61DD"/>
    <w:rsid w:val="00CF29BC"/>
    <w:rsid w:val="00D10C7D"/>
    <w:rsid w:val="00D57916"/>
    <w:rsid w:val="00D84CD3"/>
    <w:rsid w:val="00D9088B"/>
    <w:rsid w:val="00DA1CDA"/>
    <w:rsid w:val="00DA5836"/>
    <w:rsid w:val="00DC3D2E"/>
    <w:rsid w:val="00DC55D8"/>
    <w:rsid w:val="00DD0944"/>
    <w:rsid w:val="00DE0433"/>
    <w:rsid w:val="00E40032"/>
    <w:rsid w:val="00E60327"/>
    <w:rsid w:val="00E71C09"/>
    <w:rsid w:val="00E82249"/>
    <w:rsid w:val="00E877C5"/>
    <w:rsid w:val="00EB08C1"/>
    <w:rsid w:val="00EB410C"/>
    <w:rsid w:val="00ED2380"/>
    <w:rsid w:val="00F36C6E"/>
    <w:rsid w:val="00F94CE8"/>
    <w:rsid w:val="00FB3F7D"/>
    <w:rsid w:val="00FB5D6B"/>
    <w:rsid w:val="00FC1688"/>
    <w:rsid w:val="00FF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semiHidden/>
    <w:rsid w:val="009533CE"/>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semiHidden/>
    <w:rsid w:val="00DE0433"/>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E0433"/>
    <w:rPr>
      <w:rFonts w:ascii="Times New Roman" w:eastAsia="Times New Roman" w:hAnsi="Times New Roman" w:cs="Times New Roman"/>
      <w:sz w:val="24"/>
      <w:szCs w:val="24"/>
    </w:rPr>
  </w:style>
  <w:style w:type="paragraph" w:customStyle="1" w:styleId="program-majors">
    <w:name w:val="program-majors"/>
    <w:basedOn w:val="Normal"/>
    <w:rsid w:val="008A7DDD"/>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FC1688"/>
    <w:pPr>
      <w:spacing w:after="120"/>
      <w:ind w:left="360"/>
    </w:pPr>
  </w:style>
  <w:style w:type="character" w:customStyle="1" w:styleId="BodyTextIndentChar">
    <w:name w:val="Body Text Indent Char"/>
    <w:basedOn w:val="DefaultParagraphFont"/>
    <w:link w:val="BodyTextIndent"/>
    <w:uiPriority w:val="99"/>
    <w:semiHidden/>
    <w:rsid w:val="00FC1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semiHidden/>
    <w:rsid w:val="009533CE"/>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semiHidden/>
    <w:rsid w:val="00DE0433"/>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E0433"/>
    <w:rPr>
      <w:rFonts w:ascii="Times New Roman" w:eastAsia="Times New Roman" w:hAnsi="Times New Roman" w:cs="Times New Roman"/>
      <w:sz w:val="24"/>
      <w:szCs w:val="24"/>
    </w:rPr>
  </w:style>
  <w:style w:type="paragraph" w:customStyle="1" w:styleId="program-majors">
    <w:name w:val="program-majors"/>
    <w:basedOn w:val="Normal"/>
    <w:rsid w:val="008A7DDD"/>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FC1688"/>
    <w:pPr>
      <w:spacing w:after="120"/>
      <w:ind w:left="360"/>
    </w:pPr>
  </w:style>
  <w:style w:type="character" w:customStyle="1" w:styleId="BodyTextIndentChar">
    <w:name w:val="Body Text Indent Char"/>
    <w:basedOn w:val="DefaultParagraphFont"/>
    <w:link w:val="BodyTextIndent"/>
    <w:uiPriority w:val="99"/>
    <w:semiHidden/>
    <w:rsid w:val="00FC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3680">
      <w:bodyDiv w:val="1"/>
      <w:marLeft w:val="0"/>
      <w:marRight w:val="0"/>
      <w:marTop w:val="0"/>
      <w:marBottom w:val="0"/>
      <w:divBdr>
        <w:top w:val="none" w:sz="0" w:space="0" w:color="auto"/>
        <w:left w:val="none" w:sz="0" w:space="0" w:color="auto"/>
        <w:bottom w:val="none" w:sz="0" w:space="0" w:color="auto"/>
        <w:right w:val="none" w:sz="0" w:space="0" w:color="auto"/>
      </w:divBdr>
    </w:div>
    <w:div w:id="20743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5547-6B48-4C2A-A063-A52DBFDE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Nagle</dc:creator>
  <cp:lastModifiedBy>reception</cp:lastModifiedBy>
  <cp:revision>2</cp:revision>
  <cp:lastPrinted>2014-09-09T18:13:00Z</cp:lastPrinted>
  <dcterms:created xsi:type="dcterms:W3CDTF">2014-12-18T18:18:00Z</dcterms:created>
  <dcterms:modified xsi:type="dcterms:W3CDTF">2014-12-18T18:18:00Z</dcterms:modified>
</cp:coreProperties>
</file>